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F6DBF">
      <w:pPr>
        <w:spacing w:before="346" w:line="220" w:lineRule="auto"/>
        <w:ind w:left="1763"/>
        <w:rPr>
          <w:rFonts w:ascii="宋体" w:hAnsi="宋体" w:eastAsia="宋体" w:cs="宋体"/>
          <w:sz w:val="174"/>
          <w:szCs w:val="174"/>
        </w:rPr>
      </w:pPr>
      <w:r>
        <w:rPr>
          <w:rFonts w:ascii="宋体" w:hAnsi="宋体" w:eastAsia="宋体" w:cs="宋体"/>
          <w:b/>
          <w:bCs/>
          <w:color w:val="E00000"/>
          <w:spacing w:val="-72"/>
          <w:sz w:val="174"/>
          <w:szCs w:val="174"/>
        </w:rPr>
        <w:t>安</w:t>
      </w:r>
      <w:r>
        <w:rPr>
          <w:rFonts w:ascii="宋体" w:hAnsi="宋体" w:eastAsia="宋体" w:cs="宋体"/>
          <w:color w:val="E00000"/>
          <w:spacing w:val="-72"/>
          <w:sz w:val="174"/>
          <w:szCs w:val="174"/>
        </w:rPr>
        <w:t xml:space="preserve"> </w:t>
      </w:r>
      <w:r>
        <w:rPr>
          <w:rFonts w:ascii="宋体" w:hAnsi="宋体" w:eastAsia="宋体" w:cs="宋体"/>
          <w:b/>
          <w:bCs/>
          <w:color w:val="E00000"/>
          <w:spacing w:val="-72"/>
          <w:sz w:val="174"/>
          <w:szCs w:val="174"/>
        </w:rPr>
        <w:t>徽</w:t>
      </w:r>
      <w:r>
        <w:rPr>
          <w:rFonts w:ascii="宋体" w:hAnsi="宋体" w:eastAsia="宋体" w:cs="宋体"/>
          <w:color w:val="E00000"/>
          <w:spacing w:val="68"/>
          <w:sz w:val="174"/>
          <w:szCs w:val="174"/>
        </w:rPr>
        <w:t xml:space="preserve"> </w:t>
      </w:r>
      <w:r>
        <w:rPr>
          <w:rFonts w:ascii="宋体" w:hAnsi="宋体" w:eastAsia="宋体" w:cs="宋体"/>
          <w:b/>
          <w:bCs/>
          <w:color w:val="E00000"/>
          <w:spacing w:val="-72"/>
          <w:sz w:val="174"/>
          <w:szCs w:val="174"/>
        </w:rPr>
        <w:t>省</w:t>
      </w:r>
      <w:r>
        <w:rPr>
          <w:rFonts w:ascii="宋体" w:hAnsi="宋体" w:eastAsia="宋体" w:cs="宋体"/>
          <w:color w:val="E00000"/>
          <w:spacing w:val="73"/>
          <w:sz w:val="174"/>
          <w:szCs w:val="174"/>
        </w:rPr>
        <w:t xml:space="preserve"> </w:t>
      </w:r>
      <w:r>
        <w:rPr>
          <w:rFonts w:ascii="宋体" w:hAnsi="宋体" w:eastAsia="宋体" w:cs="宋体"/>
          <w:b/>
          <w:bCs/>
          <w:color w:val="E00000"/>
          <w:spacing w:val="-72"/>
          <w:sz w:val="174"/>
          <w:szCs w:val="174"/>
        </w:rPr>
        <w:t>商</w:t>
      </w:r>
      <w:r>
        <w:rPr>
          <w:rFonts w:ascii="宋体" w:hAnsi="宋体" w:eastAsia="宋体" w:cs="宋体"/>
          <w:color w:val="E00000"/>
          <w:spacing w:val="53"/>
          <w:sz w:val="174"/>
          <w:szCs w:val="174"/>
        </w:rPr>
        <w:t xml:space="preserve"> </w:t>
      </w:r>
      <w:r>
        <w:rPr>
          <w:rFonts w:ascii="宋体" w:hAnsi="宋体" w:eastAsia="宋体" w:cs="宋体"/>
          <w:b/>
          <w:bCs/>
          <w:color w:val="E00000"/>
          <w:spacing w:val="-72"/>
          <w:sz w:val="174"/>
          <w:szCs w:val="174"/>
        </w:rPr>
        <w:t>务</w:t>
      </w:r>
      <w:r>
        <w:rPr>
          <w:rFonts w:ascii="宋体" w:hAnsi="宋体" w:eastAsia="宋体" w:cs="宋体"/>
          <w:color w:val="E00000"/>
          <w:spacing w:val="66"/>
          <w:sz w:val="174"/>
          <w:szCs w:val="174"/>
        </w:rPr>
        <w:t xml:space="preserve"> </w:t>
      </w:r>
      <w:r>
        <w:rPr>
          <w:rFonts w:ascii="宋体" w:hAnsi="宋体" w:eastAsia="宋体" w:cs="宋体"/>
          <w:b/>
          <w:bCs/>
          <w:color w:val="E00000"/>
          <w:spacing w:val="-72"/>
          <w:sz w:val="174"/>
          <w:szCs w:val="174"/>
        </w:rPr>
        <w:t>厅</w:t>
      </w:r>
    </w:p>
    <w:p w14:paraId="64F135FF">
      <w:pPr>
        <w:spacing w:before="116" w:line="63" w:lineRule="exact"/>
        <w:ind w:firstLine="38"/>
      </w:pPr>
      <w:r>
        <w:rPr>
          <w:position w:val="-1"/>
        </w:rPr>
        <w:drawing>
          <wp:inline distT="0" distB="0" distL="0" distR="0">
            <wp:extent cx="11370945" cy="4000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371560" cy="4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682D9">
      <w:pPr>
        <w:spacing w:line="252" w:lineRule="auto"/>
        <w:rPr>
          <w:rFonts w:ascii="Arial"/>
          <w:sz w:val="21"/>
        </w:rPr>
      </w:pPr>
    </w:p>
    <w:p w14:paraId="49CAF49A">
      <w:pPr>
        <w:spacing w:line="252" w:lineRule="auto"/>
        <w:rPr>
          <w:rFonts w:ascii="Arial"/>
          <w:sz w:val="21"/>
        </w:rPr>
      </w:pPr>
    </w:p>
    <w:p w14:paraId="3D591286">
      <w:pPr>
        <w:spacing w:line="252" w:lineRule="auto"/>
        <w:rPr>
          <w:rFonts w:ascii="Arial"/>
          <w:sz w:val="21"/>
        </w:rPr>
      </w:pPr>
    </w:p>
    <w:p w14:paraId="3A0C109F">
      <w:pPr>
        <w:spacing w:line="252" w:lineRule="auto"/>
        <w:rPr>
          <w:rFonts w:ascii="Arial"/>
          <w:sz w:val="21"/>
        </w:rPr>
      </w:pPr>
    </w:p>
    <w:p w14:paraId="159E5523">
      <w:pPr>
        <w:spacing w:line="252" w:lineRule="auto"/>
        <w:rPr>
          <w:rFonts w:ascii="Arial"/>
          <w:sz w:val="21"/>
        </w:rPr>
      </w:pPr>
    </w:p>
    <w:p w14:paraId="507CAB7F">
      <w:pPr>
        <w:spacing w:line="252" w:lineRule="auto"/>
        <w:rPr>
          <w:rFonts w:ascii="Arial"/>
          <w:sz w:val="21"/>
        </w:rPr>
      </w:pPr>
    </w:p>
    <w:p w14:paraId="62115D9E">
      <w:pPr>
        <w:spacing w:line="252" w:lineRule="auto"/>
        <w:rPr>
          <w:rFonts w:ascii="Arial"/>
          <w:sz w:val="21"/>
        </w:rPr>
      </w:pPr>
    </w:p>
    <w:p w14:paraId="6D13E48B">
      <w:pPr>
        <w:spacing w:line="252" w:lineRule="auto"/>
        <w:rPr>
          <w:rFonts w:ascii="Arial"/>
          <w:sz w:val="21"/>
        </w:rPr>
      </w:pPr>
    </w:p>
    <w:p w14:paraId="30F8BDB2">
      <w:pPr>
        <w:spacing w:line="252" w:lineRule="auto"/>
        <w:rPr>
          <w:rFonts w:ascii="Arial"/>
          <w:sz w:val="21"/>
        </w:rPr>
      </w:pPr>
    </w:p>
    <w:p w14:paraId="24608D45">
      <w:pPr>
        <w:spacing w:line="252" w:lineRule="auto"/>
        <w:rPr>
          <w:rFonts w:ascii="Arial"/>
          <w:sz w:val="21"/>
        </w:rPr>
      </w:pPr>
    </w:p>
    <w:p w14:paraId="7EE07759">
      <w:pPr>
        <w:spacing w:line="252" w:lineRule="auto"/>
        <w:rPr>
          <w:rFonts w:ascii="Arial"/>
          <w:sz w:val="21"/>
        </w:rPr>
      </w:pPr>
    </w:p>
    <w:p w14:paraId="77FEFECB">
      <w:pPr>
        <w:spacing w:line="252" w:lineRule="auto"/>
        <w:rPr>
          <w:rFonts w:ascii="Arial"/>
          <w:sz w:val="21"/>
        </w:rPr>
      </w:pPr>
    </w:p>
    <w:p w14:paraId="4A985354">
      <w:pPr>
        <w:spacing w:line="252" w:lineRule="auto"/>
        <w:rPr>
          <w:rFonts w:ascii="Arial"/>
          <w:sz w:val="21"/>
        </w:rPr>
      </w:pPr>
    </w:p>
    <w:p w14:paraId="27E35A01">
      <w:pPr>
        <w:spacing w:line="253" w:lineRule="auto"/>
        <w:rPr>
          <w:rFonts w:ascii="Arial"/>
          <w:sz w:val="21"/>
        </w:rPr>
      </w:pPr>
    </w:p>
    <w:p w14:paraId="4BA7381D">
      <w:pPr>
        <w:spacing w:before="280" w:line="268" w:lineRule="auto"/>
        <w:ind w:left="4381" w:right="750" w:hanging="3120"/>
        <w:rPr>
          <w:rFonts w:ascii="宋体" w:hAnsi="宋体" w:eastAsia="宋体" w:cs="宋体"/>
          <w:sz w:val="86"/>
          <w:szCs w:val="86"/>
        </w:rPr>
      </w:pPr>
      <w:r>
        <w:rPr>
          <w:rFonts w:ascii="宋体" w:hAnsi="宋体" w:eastAsia="宋体" w:cs="宋体"/>
          <w:b/>
          <w:bCs/>
          <w:spacing w:val="-25"/>
          <w:sz w:val="86"/>
          <w:szCs w:val="86"/>
        </w:rPr>
        <w:t>安徽省商务厅关于开展2024年度商贸流通业</w:t>
      </w:r>
      <w:r>
        <w:rPr>
          <w:rFonts w:ascii="宋体" w:hAnsi="宋体" w:eastAsia="宋体" w:cs="宋体"/>
          <w:spacing w:val="11"/>
          <w:sz w:val="86"/>
          <w:szCs w:val="86"/>
        </w:rPr>
        <w:t xml:space="preserve"> </w:t>
      </w:r>
      <w:r>
        <w:rPr>
          <w:rFonts w:ascii="宋体" w:hAnsi="宋体" w:eastAsia="宋体" w:cs="宋体"/>
          <w:b/>
          <w:bCs/>
          <w:spacing w:val="-44"/>
          <w:sz w:val="86"/>
          <w:szCs w:val="86"/>
        </w:rPr>
        <w:t>发展项目库征集工作的通知</w:t>
      </w:r>
    </w:p>
    <w:p w14:paraId="1A456204">
      <w:pPr>
        <w:spacing w:line="310" w:lineRule="auto"/>
        <w:rPr>
          <w:rFonts w:ascii="Arial"/>
          <w:sz w:val="21"/>
        </w:rPr>
      </w:pPr>
    </w:p>
    <w:p w14:paraId="1349A54B">
      <w:pPr>
        <w:spacing w:line="310" w:lineRule="auto"/>
        <w:rPr>
          <w:rFonts w:ascii="Arial"/>
          <w:sz w:val="21"/>
        </w:rPr>
      </w:pPr>
    </w:p>
    <w:p w14:paraId="75154FFA">
      <w:pPr>
        <w:spacing w:line="311" w:lineRule="auto"/>
        <w:rPr>
          <w:rFonts w:ascii="Arial"/>
          <w:sz w:val="21"/>
        </w:rPr>
      </w:pPr>
    </w:p>
    <w:p w14:paraId="3F7EB88D">
      <w:pPr>
        <w:pStyle w:val="2"/>
        <w:spacing w:before="211" w:line="225" w:lineRule="auto"/>
        <w:ind w:left="976"/>
      </w:pPr>
      <w:r>
        <w:rPr>
          <w:spacing w:val="-57"/>
        </w:rPr>
        <w:t>各市商务局：</w:t>
      </w:r>
    </w:p>
    <w:p w14:paraId="6D819E52">
      <w:pPr>
        <w:pStyle w:val="2"/>
        <w:spacing w:before="226" w:line="284" w:lineRule="auto"/>
        <w:ind w:left="976" w:right="358" w:firstLine="1230"/>
        <w:jc w:val="both"/>
        <w:rPr>
          <w:sz w:val="61"/>
          <w:szCs w:val="61"/>
        </w:rPr>
      </w:pPr>
      <w:r>
        <w:rPr>
          <w:spacing w:val="-16"/>
          <w:sz w:val="61"/>
          <w:szCs w:val="61"/>
        </w:rPr>
        <w:t>为贯彻落实我省零基预算改革要求，健全完善商贸</w:t>
      </w:r>
      <w:r>
        <w:rPr>
          <w:spacing w:val="-17"/>
          <w:sz w:val="61"/>
          <w:szCs w:val="61"/>
        </w:rPr>
        <w:t>流通项目</w:t>
      </w:r>
      <w:r>
        <w:rPr>
          <w:sz w:val="61"/>
          <w:szCs w:val="61"/>
        </w:rPr>
        <w:t xml:space="preserve"> </w:t>
      </w:r>
      <w:r>
        <w:rPr>
          <w:spacing w:val="8"/>
          <w:sz w:val="61"/>
          <w:szCs w:val="61"/>
        </w:rPr>
        <w:t>库，提高预算编制的科学性和准确性，现就</w:t>
      </w:r>
      <w:r>
        <w:rPr>
          <w:spacing w:val="7"/>
          <w:sz w:val="61"/>
          <w:szCs w:val="61"/>
        </w:rPr>
        <w:t>2024年度商贸流通</w:t>
      </w:r>
      <w:r>
        <w:rPr>
          <w:sz w:val="61"/>
          <w:szCs w:val="61"/>
        </w:rPr>
        <w:t xml:space="preserve"> </w:t>
      </w:r>
      <w:r>
        <w:rPr>
          <w:spacing w:val="-21"/>
          <w:sz w:val="61"/>
          <w:szCs w:val="61"/>
        </w:rPr>
        <w:t>业发展项目库征集工作有关事宜通知如下。</w:t>
      </w:r>
    </w:p>
    <w:p w14:paraId="074BB717">
      <w:pPr>
        <w:spacing w:before="130" w:line="223" w:lineRule="auto"/>
        <w:ind w:left="2215"/>
        <w:outlineLvl w:val="0"/>
        <w:rPr>
          <w:rFonts w:ascii="黑体" w:hAnsi="黑体" w:eastAsia="黑体" w:cs="黑体"/>
          <w:sz w:val="61"/>
          <w:szCs w:val="61"/>
        </w:rPr>
      </w:pPr>
      <w:r>
        <w:rPr>
          <w:rFonts w:ascii="黑体" w:hAnsi="黑体" w:eastAsia="黑体" w:cs="黑体"/>
          <w:b/>
          <w:bCs/>
          <w:spacing w:val="-24"/>
          <w:sz w:val="61"/>
          <w:szCs w:val="61"/>
        </w:rPr>
        <w:t>一、入库项目申报主体条件</w:t>
      </w:r>
    </w:p>
    <w:p w14:paraId="6C47F3DE">
      <w:pPr>
        <w:pStyle w:val="2"/>
        <w:spacing w:before="195" w:line="256" w:lineRule="auto"/>
        <w:ind w:left="976" w:right="339" w:firstLine="1503"/>
      </w:pPr>
      <w:r>
        <w:rPr>
          <w:spacing w:val="-3"/>
        </w:rPr>
        <w:t>(一)在安徽省境内依法登记注册的企业(或单位),具有</w:t>
      </w:r>
      <w:r>
        <w:rPr>
          <w:spacing w:val="10"/>
        </w:rPr>
        <w:t xml:space="preserve"> </w:t>
      </w:r>
      <w:r>
        <w:rPr>
          <w:spacing w:val="-63"/>
        </w:rPr>
        <w:t>独立法人资格；</w:t>
      </w:r>
    </w:p>
    <w:p w14:paraId="67AD3313">
      <w:pPr>
        <w:pStyle w:val="2"/>
        <w:spacing w:before="158" w:line="224" w:lineRule="auto"/>
        <w:ind w:left="2480"/>
      </w:pPr>
      <w:r>
        <w:rPr>
          <w:spacing w:val="-44"/>
        </w:rPr>
        <w:t>(二)遵章守法、合规经营，无严重失信情形；</w:t>
      </w:r>
    </w:p>
    <w:p w14:paraId="1AEE3500">
      <w:pPr>
        <w:pStyle w:val="2"/>
        <w:spacing w:before="169" w:line="224" w:lineRule="auto"/>
        <w:ind w:left="2480"/>
      </w:pPr>
      <w:r>
        <w:rPr>
          <w:spacing w:val="-42"/>
        </w:rPr>
        <w:t>(三)按要求及时向商务部门报送项目建设和经营信息；</w:t>
      </w:r>
    </w:p>
    <w:p w14:paraId="59F8CE45">
      <w:pPr>
        <w:pStyle w:val="2"/>
        <w:spacing w:before="202" w:line="224" w:lineRule="auto"/>
        <w:ind w:left="2480"/>
      </w:pPr>
      <w:r>
        <w:rPr>
          <w:spacing w:val="-40"/>
        </w:rPr>
        <w:t>(四)符合本通知明确的有关入库项目要求。</w:t>
      </w:r>
    </w:p>
    <w:p w14:paraId="4F6861A5">
      <w:pPr>
        <w:spacing w:before="192" w:line="222" w:lineRule="auto"/>
        <w:ind w:left="2216"/>
        <w:outlineLvl w:val="0"/>
        <w:rPr>
          <w:rFonts w:ascii="黑体" w:hAnsi="黑体" w:eastAsia="黑体" w:cs="黑体"/>
          <w:sz w:val="61"/>
          <w:szCs w:val="61"/>
        </w:rPr>
      </w:pPr>
      <w:r>
        <w:rPr>
          <w:rFonts w:ascii="黑体" w:hAnsi="黑体" w:eastAsia="黑体" w:cs="黑体"/>
          <w:b/>
          <w:bCs/>
          <w:spacing w:val="-25"/>
          <w:sz w:val="61"/>
          <w:szCs w:val="61"/>
        </w:rPr>
        <w:t>二、入库项目方向和要求</w:t>
      </w:r>
    </w:p>
    <w:p w14:paraId="774EE1CC">
      <w:pPr>
        <w:pStyle w:val="2"/>
        <w:spacing w:before="222" w:line="256" w:lineRule="auto"/>
        <w:ind w:left="976" w:right="444" w:firstLine="1503"/>
        <w:rPr>
          <w:rFonts w:ascii="楷体" w:hAnsi="楷体" w:eastAsia="楷体" w:cs="楷体"/>
        </w:rPr>
      </w:pPr>
      <w:r>
        <w:rPr>
          <w:rFonts w:ascii="楷体" w:hAnsi="楷体" w:eastAsia="楷体" w:cs="楷体"/>
          <w:spacing w:val="-19"/>
        </w:rPr>
        <w:t>(一)限上企业发展项目</w:t>
      </w:r>
      <w:r>
        <w:rPr>
          <w:spacing w:val="-19"/>
        </w:rPr>
        <w:t>：限上批发零售企业2024年零售</w:t>
      </w:r>
      <w:r>
        <w:rPr>
          <w:spacing w:val="16"/>
        </w:rPr>
        <w:t xml:space="preserve"> </w:t>
      </w:r>
      <w:r>
        <w:rPr>
          <w:rFonts w:ascii="楷体" w:hAnsi="楷体" w:eastAsia="楷体" w:cs="楷体"/>
          <w:spacing w:val="-35"/>
        </w:rPr>
        <w:t>额预计达到5亿元以上、限上住宿餐饮企业年营业额预计达到1</w:t>
      </w:r>
      <w:r>
        <w:rPr>
          <w:rFonts w:ascii="楷体" w:hAnsi="楷体" w:eastAsia="楷体" w:cs="楷体"/>
          <w:spacing w:val="8"/>
        </w:rPr>
        <w:t xml:space="preserve"> </w:t>
      </w:r>
      <w:r>
        <w:rPr>
          <w:rFonts w:ascii="楷体" w:hAnsi="楷体" w:eastAsia="楷体" w:cs="楷体"/>
          <w:spacing w:val="-11"/>
        </w:rPr>
        <w:t>亿元以上且2024年零售额(营业额)增速预计超过10%。</w:t>
      </w:r>
    </w:p>
    <w:p w14:paraId="6D2B1A80">
      <w:pPr>
        <w:pStyle w:val="2"/>
        <w:spacing w:before="159" w:line="227" w:lineRule="auto"/>
        <w:ind w:left="2480"/>
      </w:pPr>
      <w:r>
        <w:rPr>
          <w:rFonts w:ascii="楷体" w:hAnsi="楷体" w:eastAsia="楷体" w:cs="楷体"/>
          <w:spacing w:val="-33"/>
        </w:rPr>
        <w:t>(二)即时零售发展项目</w:t>
      </w:r>
      <w:r>
        <w:rPr>
          <w:spacing w:val="-33"/>
        </w:rPr>
        <w:t>：1.实体零售企业即时202</w:t>
      </w:r>
      <w:r>
        <w:rPr>
          <w:spacing w:val="-34"/>
        </w:rPr>
        <w:t>4零售额</w:t>
      </w:r>
    </w:p>
    <w:p w14:paraId="1437EAE5">
      <w:pPr>
        <w:spacing w:line="227" w:lineRule="auto"/>
        <w:sectPr>
          <w:footerReference r:id="rId5" w:type="default"/>
          <w:pgSz w:w="21746" w:h="31680"/>
          <w:pgMar w:top="2512" w:right="1807" w:bottom="2461" w:left="1909" w:header="0" w:footer="2397" w:gutter="0"/>
          <w:cols w:space="720" w:num="1"/>
        </w:sectPr>
      </w:pPr>
    </w:p>
    <w:p w14:paraId="73A97C3B">
      <w:pPr>
        <w:pStyle w:val="2"/>
        <w:spacing w:before="401" w:line="292" w:lineRule="auto"/>
        <w:ind w:right="23"/>
        <w:jc w:val="both"/>
        <w:rPr>
          <w:sz w:val="61"/>
          <w:szCs w:val="61"/>
        </w:rPr>
      </w:pPr>
      <w:r>
        <w:rPr>
          <w:spacing w:val="10"/>
          <w:sz w:val="61"/>
          <w:szCs w:val="61"/>
        </w:rPr>
        <w:t>预计首次突破1亿元、5亿元、10亿元；2.电商平台企业新设线</w:t>
      </w:r>
      <w:r>
        <w:rPr>
          <w:spacing w:val="9"/>
          <w:sz w:val="61"/>
          <w:szCs w:val="61"/>
        </w:rPr>
        <w:t xml:space="preserve"> </w:t>
      </w:r>
      <w:r>
        <w:rPr>
          <w:spacing w:val="11"/>
          <w:sz w:val="61"/>
          <w:szCs w:val="61"/>
        </w:rPr>
        <w:t>下新零售体验店，且营业面积达2000平方米</w:t>
      </w:r>
      <w:r>
        <w:rPr>
          <w:spacing w:val="10"/>
          <w:sz w:val="61"/>
          <w:szCs w:val="61"/>
        </w:rPr>
        <w:t>以上；3.即时零售</w:t>
      </w:r>
      <w:r>
        <w:rPr>
          <w:sz w:val="61"/>
          <w:szCs w:val="61"/>
        </w:rPr>
        <w:t xml:space="preserve"> </w:t>
      </w:r>
      <w:r>
        <w:rPr>
          <w:spacing w:val="-1"/>
          <w:sz w:val="61"/>
          <w:szCs w:val="61"/>
        </w:rPr>
        <w:t>前置仓新设面积800平米以上的前置仓，建设内容包括冷库建设</w:t>
      </w:r>
      <w:r>
        <w:rPr>
          <w:spacing w:val="11"/>
          <w:sz w:val="61"/>
          <w:szCs w:val="61"/>
        </w:rPr>
        <w:t xml:space="preserve"> </w:t>
      </w:r>
      <w:r>
        <w:rPr>
          <w:spacing w:val="-6"/>
          <w:sz w:val="61"/>
          <w:szCs w:val="61"/>
        </w:rPr>
        <w:t>改造、购置标准托盘等装卸载具、建设智慧仓库管理系统等；4.</w:t>
      </w:r>
      <w:r>
        <w:rPr>
          <w:spacing w:val="5"/>
          <w:sz w:val="61"/>
          <w:szCs w:val="61"/>
        </w:rPr>
        <w:t xml:space="preserve"> </w:t>
      </w:r>
      <w:r>
        <w:rPr>
          <w:spacing w:val="10"/>
          <w:sz w:val="61"/>
          <w:szCs w:val="61"/>
        </w:rPr>
        <w:t>开展即时零售业务的品牌连锁便利店、超市在2024年新增直营</w:t>
      </w:r>
      <w:r>
        <w:rPr>
          <w:spacing w:val="17"/>
          <w:sz w:val="61"/>
          <w:szCs w:val="61"/>
        </w:rPr>
        <w:t xml:space="preserve"> </w:t>
      </w:r>
      <w:r>
        <w:rPr>
          <w:spacing w:val="9"/>
          <w:sz w:val="61"/>
          <w:szCs w:val="61"/>
        </w:rPr>
        <w:t>网点分别达10家、5家及以上的项目。</w:t>
      </w:r>
    </w:p>
    <w:p w14:paraId="47DF3FF4">
      <w:pPr>
        <w:pStyle w:val="2"/>
        <w:spacing w:before="118" w:line="285" w:lineRule="auto"/>
        <w:ind w:firstLine="1446"/>
        <w:rPr>
          <w:sz w:val="61"/>
          <w:szCs w:val="61"/>
        </w:rPr>
      </w:pPr>
      <w:r>
        <w:rPr>
          <w:rFonts w:ascii="楷体" w:hAnsi="楷体" w:eastAsia="楷体" w:cs="楷体"/>
          <w:spacing w:val="2"/>
          <w:sz w:val="61"/>
          <w:szCs w:val="61"/>
        </w:rPr>
        <w:t>(三)汽车流通促进项目</w:t>
      </w:r>
      <w:r>
        <w:rPr>
          <w:spacing w:val="2"/>
          <w:sz w:val="61"/>
          <w:szCs w:val="61"/>
        </w:rPr>
        <w:t>：1.设区市商务部门组织举办或在</w:t>
      </w:r>
      <w:r>
        <w:rPr>
          <w:spacing w:val="8"/>
          <w:sz w:val="61"/>
          <w:szCs w:val="61"/>
        </w:rPr>
        <w:t xml:space="preserve"> </w:t>
      </w:r>
      <w:r>
        <w:rPr>
          <w:spacing w:val="-11"/>
          <w:sz w:val="61"/>
          <w:szCs w:val="61"/>
        </w:rPr>
        <w:t>市商务部门报备且达到一定规模的大型汽车展销活动。单场活动</w:t>
      </w:r>
      <w:r>
        <w:rPr>
          <w:spacing w:val="1"/>
          <w:sz w:val="61"/>
          <w:szCs w:val="61"/>
        </w:rPr>
        <w:t xml:space="preserve"> </w:t>
      </w:r>
      <w:r>
        <w:rPr>
          <w:spacing w:val="14"/>
          <w:sz w:val="61"/>
          <w:szCs w:val="61"/>
        </w:rPr>
        <w:t>展览展销面积应达到4000平方米(含)以上、参展企业15家(含)</w:t>
      </w:r>
      <w:r>
        <w:rPr>
          <w:spacing w:val="16"/>
          <w:sz w:val="61"/>
          <w:szCs w:val="61"/>
        </w:rPr>
        <w:t xml:space="preserve"> </w:t>
      </w:r>
      <w:r>
        <w:rPr>
          <w:spacing w:val="58"/>
          <w:sz w:val="61"/>
          <w:szCs w:val="61"/>
        </w:rPr>
        <w:t>以上、参展车型30个(含)以上且展销时长应达到2天(含)</w:t>
      </w:r>
      <w:r>
        <w:rPr>
          <w:spacing w:val="4"/>
          <w:sz w:val="61"/>
          <w:szCs w:val="61"/>
        </w:rPr>
        <w:t xml:space="preserve">  </w:t>
      </w:r>
      <w:r>
        <w:rPr>
          <w:spacing w:val="-13"/>
          <w:sz w:val="61"/>
          <w:szCs w:val="61"/>
        </w:rPr>
        <w:t>以上；2.在皖举办的汽车展会上进行全球、全国、长三角区域首</w:t>
      </w:r>
      <w:r>
        <w:rPr>
          <w:spacing w:val="14"/>
          <w:sz w:val="61"/>
          <w:szCs w:val="61"/>
        </w:rPr>
        <w:t xml:space="preserve"> </w:t>
      </w:r>
      <w:r>
        <w:rPr>
          <w:spacing w:val="-15"/>
          <w:sz w:val="61"/>
          <w:szCs w:val="61"/>
        </w:rPr>
        <w:t>发的国内外汽车品牌的项目。</w:t>
      </w:r>
    </w:p>
    <w:p w14:paraId="5F305245">
      <w:pPr>
        <w:pStyle w:val="2"/>
        <w:spacing w:before="259" w:line="285" w:lineRule="auto"/>
        <w:ind w:right="170" w:firstLine="1529"/>
        <w:rPr>
          <w:sz w:val="61"/>
          <w:szCs w:val="61"/>
        </w:rPr>
      </w:pPr>
      <w:r>
        <w:rPr>
          <w:rFonts w:ascii="楷体" w:hAnsi="楷体" w:eastAsia="楷体" w:cs="楷体"/>
          <w:spacing w:val="-1"/>
          <w:sz w:val="61"/>
          <w:szCs w:val="61"/>
        </w:rPr>
        <w:t>(四)商业改造提升项目</w:t>
      </w:r>
      <w:r>
        <w:rPr>
          <w:spacing w:val="-1"/>
          <w:sz w:val="61"/>
          <w:szCs w:val="61"/>
        </w:rPr>
        <w:t>：1.已评定的安徽省特色商业街开</w:t>
      </w:r>
      <w:r>
        <w:rPr>
          <w:spacing w:val="6"/>
          <w:sz w:val="61"/>
          <w:szCs w:val="61"/>
        </w:rPr>
        <w:t xml:space="preserve"> </w:t>
      </w:r>
      <w:r>
        <w:rPr>
          <w:spacing w:val="-2"/>
          <w:sz w:val="61"/>
          <w:szCs w:val="61"/>
        </w:rPr>
        <w:t>展的升级改造项目，有关投资不低于500万元；2.商文旅融合发</w:t>
      </w:r>
      <w:r>
        <w:rPr>
          <w:spacing w:val="2"/>
          <w:sz w:val="61"/>
          <w:szCs w:val="61"/>
        </w:rPr>
        <w:t xml:space="preserve"> </w:t>
      </w:r>
      <w:r>
        <w:rPr>
          <w:spacing w:val="-12"/>
          <w:sz w:val="61"/>
          <w:szCs w:val="61"/>
        </w:rPr>
        <w:t>展项目，包括重点商圈、街区、综合体等围绕提升商业品质、彰</w:t>
      </w:r>
      <w:r>
        <w:rPr>
          <w:spacing w:val="12"/>
          <w:sz w:val="61"/>
          <w:szCs w:val="61"/>
        </w:rPr>
        <w:t xml:space="preserve"> </w:t>
      </w:r>
      <w:r>
        <w:rPr>
          <w:spacing w:val="-23"/>
          <w:sz w:val="61"/>
          <w:szCs w:val="61"/>
        </w:rPr>
        <w:t>显文化特色、丰富旅游业态等进行建设改造，相关投资不低于500</w:t>
      </w:r>
      <w:r>
        <w:rPr>
          <w:spacing w:val="7"/>
          <w:sz w:val="61"/>
          <w:szCs w:val="61"/>
        </w:rPr>
        <w:t xml:space="preserve"> </w:t>
      </w:r>
      <w:r>
        <w:rPr>
          <w:spacing w:val="-6"/>
          <w:sz w:val="61"/>
          <w:szCs w:val="61"/>
        </w:rPr>
        <w:t>万元；3.传统商贸流通企业转型升级项目，相关投资不低于500</w:t>
      </w:r>
      <w:r>
        <w:rPr>
          <w:spacing w:val="7"/>
          <w:sz w:val="61"/>
          <w:szCs w:val="61"/>
        </w:rPr>
        <w:t xml:space="preserve"> </w:t>
      </w:r>
      <w:r>
        <w:rPr>
          <w:spacing w:val="-40"/>
          <w:sz w:val="64"/>
          <w:szCs w:val="64"/>
        </w:rPr>
        <w:t>万元；4.城市一刻钟便民生活圈建设建设项目，相关投资不低于</w:t>
      </w:r>
      <w:r>
        <w:rPr>
          <w:spacing w:val="4"/>
          <w:sz w:val="64"/>
          <w:szCs w:val="64"/>
        </w:rPr>
        <w:t xml:space="preserve"> </w:t>
      </w:r>
      <w:r>
        <w:rPr>
          <w:spacing w:val="-1"/>
          <w:sz w:val="61"/>
          <w:szCs w:val="61"/>
        </w:rPr>
        <w:t>500万元；5.再生资源回收体系建设项目，包括再生资源回收分</w:t>
      </w:r>
      <w:r>
        <w:rPr>
          <w:spacing w:val="7"/>
          <w:sz w:val="61"/>
          <w:szCs w:val="61"/>
        </w:rPr>
        <w:t xml:space="preserve"> </w:t>
      </w:r>
      <w:r>
        <w:rPr>
          <w:spacing w:val="-4"/>
          <w:sz w:val="61"/>
          <w:szCs w:val="61"/>
        </w:rPr>
        <w:t>拣中心及社区智能回收终端建设，相关投资不低于200万元。</w:t>
      </w:r>
    </w:p>
    <w:p w14:paraId="4D33CA2E">
      <w:pPr>
        <w:pStyle w:val="2"/>
        <w:spacing w:before="230" w:line="281" w:lineRule="auto"/>
        <w:ind w:right="112" w:firstLine="1529"/>
        <w:rPr>
          <w:sz w:val="61"/>
          <w:szCs w:val="61"/>
        </w:rPr>
      </w:pPr>
      <w:r>
        <w:rPr>
          <w:rFonts w:ascii="楷体" w:hAnsi="楷体" w:eastAsia="楷体" w:cs="楷体"/>
          <w:spacing w:val="-1"/>
          <w:sz w:val="61"/>
          <w:szCs w:val="61"/>
        </w:rPr>
        <w:t>(五)老字号品牌培育项目</w:t>
      </w:r>
      <w:r>
        <w:rPr>
          <w:rFonts w:ascii="宋体" w:hAnsi="宋体" w:eastAsia="宋体" w:cs="宋体"/>
          <w:spacing w:val="-1"/>
          <w:sz w:val="61"/>
          <w:szCs w:val="61"/>
        </w:rPr>
        <w:t>：</w:t>
      </w:r>
      <w:r>
        <w:rPr>
          <w:rFonts w:ascii="Times New Roman" w:hAnsi="Times New Roman" w:eastAsia="Times New Roman" w:cs="Times New Roman"/>
          <w:spacing w:val="-1"/>
          <w:sz w:val="61"/>
          <w:szCs w:val="61"/>
        </w:rPr>
        <w:t>1</w:t>
      </w:r>
      <w:r>
        <w:rPr>
          <w:rFonts w:ascii="Times New Roman" w:hAnsi="Times New Roman" w:eastAsia="Times New Roman" w:cs="Times New Roman"/>
          <w:spacing w:val="-84"/>
          <w:sz w:val="61"/>
          <w:szCs w:val="61"/>
        </w:rPr>
        <w:t xml:space="preserve"> </w:t>
      </w:r>
      <w:r>
        <w:rPr>
          <w:spacing w:val="-1"/>
          <w:sz w:val="61"/>
          <w:szCs w:val="61"/>
        </w:rPr>
        <w:t>.“中华老字号”“安徽老字</w:t>
      </w:r>
      <w:r>
        <w:rPr>
          <w:sz w:val="61"/>
          <w:szCs w:val="61"/>
        </w:rPr>
        <w:t xml:space="preserve"> </w:t>
      </w:r>
      <w:r>
        <w:rPr>
          <w:spacing w:val="-1"/>
          <w:sz w:val="61"/>
          <w:szCs w:val="61"/>
        </w:rPr>
        <w:t>号”企业新设直营连锁店达5家及以上的项目；2.老字号企业抱</w:t>
      </w:r>
      <w:r>
        <w:rPr>
          <w:spacing w:val="9"/>
          <w:sz w:val="61"/>
          <w:szCs w:val="61"/>
        </w:rPr>
        <w:t xml:space="preserve"> </w:t>
      </w:r>
      <w:r>
        <w:rPr>
          <w:spacing w:val="11"/>
          <w:sz w:val="61"/>
          <w:szCs w:val="61"/>
        </w:rPr>
        <w:t>团参加由省商务厅或省老字号协会统一组织的</w:t>
      </w:r>
      <w:r>
        <w:rPr>
          <w:spacing w:val="10"/>
          <w:sz w:val="61"/>
          <w:szCs w:val="61"/>
        </w:rPr>
        <w:t>省内外展销会项</w:t>
      </w:r>
      <w:r>
        <w:rPr>
          <w:sz w:val="61"/>
          <w:szCs w:val="61"/>
        </w:rPr>
        <w:t xml:space="preserve"> </w:t>
      </w:r>
      <w:r>
        <w:rPr>
          <w:spacing w:val="-56"/>
          <w:sz w:val="61"/>
          <w:szCs w:val="61"/>
        </w:rPr>
        <w:t>目。</w:t>
      </w:r>
    </w:p>
    <w:p w14:paraId="267CADB5">
      <w:pPr>
        <w:spacing w:before="264" w:line="222" w:lineRule="auto"/>
        <w:ind w:left="1240"/>
        <w:outlineLvl w:val="6"/>
        <w:rPr>
          <w:rFonts w:ascii="黑体" w:hAnsi="黑体" w:eastAsia="黑体" w:cs="黑体"/>
          <w:sz w:val="64"/>
          <w:szCs w:val="64"/>
        </w:rPr>
      </w:pPr>
      <w:r>
        <w:rPr>
          <w:rFonts w:ascii="黑体" w:hAnsi="黑体" w:eastAsia="黑体" w:cs="黑体"/>
          <w:b/>
          <w:bCs/>
          <w:spacing w:val="-49"/>
          <w:sz w:val="64"/>
          <w:szCs w:val="64"/>
        </w:rPr>
        <w:t>三、入库项目时限要求</w:t>
      </w:r>
    </w:p>
    <w:p w14:paraId="4B4F3EC8">
      <w:pPr>
        <w:spacing w:line="222" w:lineRule="auto"/>
        <w:rPr>
          <w:rFonts w:ascii="黑体" w:hAnsi="黑体" w:eastAsia="黑体" w:cs="黑体"/>
          <w:sz w:val="64"/>
          <w:szCs w:val="64"/>
        </w:rPr>
        <w:sectPr>
          <w:footerReference r:id="rId6" w:type="default"/>
          <w:pgSz w:w="21780" w:h="31680"/>
          <w:pgMar w:top="2692" w:right="2229" w:bottom="3084" w:left="2614" w:header="0" w:footer="2475" w:gutter="0"/>
          <w:cols w:space="720" w:num="1"/>
        </w:sectPr>
      </w:pPr>
    </w:p>
    <w:p w14:paraId="4BA45E95">
      <w:pPr>
        <w:pStyle w:val="2"/>
        <w:spacing w:before="354" w:line="286" w:lineRule="auto"/>
        <w:ind w:right="16" w:firstLine="1190"/>
        <w:rPr>
          <w:sz w:val="61"/>
          <w:szCs w:val="61"/>
        </w:rPr>
      </w:pPr>
      <w:r>
        <w:rPr>
          <w:spacing w:val="44"/>
          <w:sz w:val="61"/>
          <w:szCs w:val="61"/>
        </w:rPr>
        <w:t>2024年1月1日至2024年12月31日期间完工投入使用且</w:t>
      </w:r>
      <w:r>
        <w:rPr>
          <w:spacing w:val="2"/>
          <w:sz w:val="61"/>
          <w:szCs w:val="61"/>
        </w:rPr>
        <w:t xml:space="preserve"> </w:t>
      </w:r>
      <w:r>
        <w:rPr>
          <w:spacing w:val="-24"/>
          <w:sz w:val="61"/>
          <w:szCs w:val="61"/>
        </w:rPr>
        <w:t>未享受过国家、省级政策支持的项目。</w:t>
      </w:r>
    </w:p>
    <w:p w14:paraId="08A4A20B">
      <w:pPr>
        <w:spacing w:before="28" w:line="223" w:lineRule="auto"/>
        <w:ind w:left="1199"/>
        <w:outlineLvl w:val="6"/>
        <w:rPr>
          <w:rFonts w:ascii="黑体" w:hAnsi="黑体" w:eastAsia="黑体" w:cs="黑体"/>
          <w:sz w:val="63"/>
          <w:szCs w:val="63"/>
        </w:rPr>
      </w:pPr>
      <w:r>
        <w:rPr>
          <w:rFonts w:ascii="黑体" w:hAnsi="黑体" w:eastAsia="黑体" w:cs="黑体"/>
          <w:b/>
          <w:bCs/>
          <w:spacing w:val="-52"/>
          <w:sz w:val="63"/>
          <w:szCs w:val="63"/>
        </w:rPr>
        <w:t>四、入库程序</w:t>
      </w:r>
    </w:p>
    <w:p w14:paraId="4EF24B54">
      <w:pPr>
        <w:pStyle w:val="2"/>
        <w:spacing w:before="294" w:line="272" w:lineRule="auto"/>
        <w:ind w:right="1" w:firstLine="1399"/>
        <w:rPr>
          <w:sz w:val="59"/>
          <w:szCs w:val="59"/>
        </w:rPr>
      </w:pPr>
      <w:r>
        <w:rPr>
          <w:spacing w:val="15"/>
          <w:sz w:val="59"/>
          <w:szCs w:val="59"/>
        </w:rPr>
        <w:t>(一)项目单位向属地商务部门提交入库申请并报送项目有</w:t>
      </w:r>
      <w:r>
        <w:rPr>
          <w:spacing w:val="18"/>
          <w:sz w:val="59"/>
          <w:szCs w:val="59"/>
        </w:rPr>
        <w:t xml:space="preserve"> </w:t>
      </w:r>
      <w:r>
        <w:rPr>
          <w:spacing w:val="-32"/>
          <w:sz w:val="59"/>
          <w:szCs w:val="59"/>
        </w:rPr>
        <w:t>关情况；</w:t>
      </w:r>
    </w:p>
    <w:p w14:paraId="7C71A1EA">
      <w:pPr>
        <w:pStyle w:val="2"/>
        <w:spacing w:before="298" w:line="267" w:lineRule="auto"/>
        <w:ind w:firstLine="1399"/>
        <w:rPr>
          <w:sz w:val="61"/>
          <w:szCs w:val="61"/>
        </w:rPr>
      </w:pPr>
      <w:r>
        <w:rPr>
          <w:spacing w:val="-4"/>
          <w:sz w:val="61"/>
          <w:szCs w:val="61"/>
        </w:rPr>
        <w:t>(二)市级商务部门进行初审，筛选符合条件的项目报送省</w:t>
      </w:r>
      <w:r>
        <w:rPr>
          <w:spacing w:val="14"/>
          <w:sz w:val="61"/>
          <w:szCs w:val="61"/>
        </w:rPr>
        <w:t xml:space="preserve"> </w:t>
      </w:r>
      <w:r>
        <w:rPr>
          <w:spacing w:val="-43"/>
          <w:sz w:val="61"/>
          <w:szCs w:val="61"/>
        </w:rPr>
        <w:t>商务厅；</w:t>
      </w:r>
    </w:p>
    <w:p w14:paraId="6CBB3EDC">
      <w:pPr>
        <w:pStyle w:val="2"/>
        <w:spacing w:before="270" w:line="222" w:lineRule="auto"/>
        <w:ind w:left="1399"/>
        <w:rPr>
          <w:sz w:val="61"/>
          <w:szCs w:val="61"/>
        </w:rPr>
      </w:pPr>
      <w:r>
        <w:rPr>
          <w:spacing w:val="-7"/>
          <w:sz w:val="61"/>
          <w:szCs w:val="61"/>
        </w:rPr>
        <w:t>(三)省商务厅遴选符合条件的项目建立项目库。</w:t>
      </w:r>
    </w:p>
    <w:p w14:paraId="1B0BD8F3">
      <w:pPr>
        <w:spacing w:before="263" w:line="223" w:lineRule="auto"/>
        <w:ind w:left="1199"/>
        <w:outlineLvl w:val="6"/>
        <w:rPr>
          <w:rFonts w:ascii="黑体" w:hAnsi="黑体" w:eastAsia="黑体" w:cs="黑体"/>
          <w:sz w:val="63"/>
          <w:szCs w:val="63"/>
        </w:rPr>
      </w:pPr>
      <w:r>
        <w:rPr>
          <w:rFonts w:ascii="黑体" w:hAnsi="黑体" w:eastAsia="黑体" w:cs="黑体"/>
          <w:b/>
          <w:bCs/>
          <w:spacing w:val="-49"/>
          <w:sz w:val="63"/>
          <w:szCs w:val="63"/>
        </w:rPr>
        <w:t>五、入库项目管理、使用</w:t>
      </w:r>
    </w:p>
    <w:p w14:paraId="04A2360D">
      <w:pPr>
        <w:pStyle w:val="2"/>
        <w:spacing w:before="274" w:line="274" w:lineRule="auto"/>
        <w:ind w:right="18" w:firstLine="1399"/>
        <w:rPr>
          <w:sz w:val="59"/>
          <w:szCs w:val="59"/>
        </w:rPr>
      </w:pPr>
      <w:r>
        <w:rPr>
          <w:spacing w:val="11"/>
          <w:sz w:val="59"/>
          <w:szCs w:val="59"/>
        </w:rPr>
        <w:t>(一)省级商贸流通业发展专项资金原则上从项目库中选取</w:t>
      </w:r>
      <w:r>
        <w:rPr>
          <w:spacing w:val="16"/>
          <w:sz w:val="59"/>
          <w:szCs w:val="59"/>
        </w:rPr>
        <w:t xml:space="preserve"> </w:t>
      </w:r>
      <w:r>
        <w:rPr>
          <w:spacing w:val="1"/>
          <w:sz w:val="59"/>
          <w:szCs w:val="59"/>
        </w:rPr>
        <w:t>项目进行扶持，具体政策内容和支持标准按照年</w:t>
      </w:r>
      <w:r>
        <w:rPr>
          <w:sz w:val="59"/>
          <w:szCs w:val="59"/>
        </w:rPr>
        <w:t xml:space="preserve">度政策文件组织 </w:t>
      </w:r>
      <w:r>
        <w:rPr>
          <w:spacing w:val="-21"/>
          <w:sz w:val="59"/>
          <w:szCs w:val="59"/>
        </w:rPr>
        <w:t>实施。</w:t>
      </w:r>
    </w:p>
    <w:p w14:paraId="236933E1">
      <w:pPr>
        <w:pStyle w:val="2"/>
        <w:spacing w:before="277" w:line="253" w:lineRule="auto"/>
        <w:ind w:right="99" w:firstLine="1399"/>
        <w:rPr>
          <w:sz w:val="61"/>
          <w:szCs w:val="61"/>
        </w:rPr>
      </w:pPr>
      <w:r>
        <w:rPr>
          <w:spacing w:val="-8"/>
          <w:sz w:val="61"/>
          <w:szCs w:val="61"/>
        </w:rPr>
        <w:t>(二)项目库实行动态管理，各地定期报送入库项目进展及</w:t>
      </w:r>
      <w:r>
        <w:rPr>
          <w:spacing w:val="18"/>
          <w:sz w:val="61"/>
          <w:szCs w:val="61"/>
        </w:rPr>
        <w:t xml:space="preserve"> </w:t>
      </w:r>
      <w:r>
        <w:rPr>
          <w:spacing w:val="-25"/>
          <w:sz w:val="61"/>
          <w:szCs w:val="61"/>
        </w:rPr>
        <w:t>新增入库项目情况。</w:t>
      </w:r>
    </w:p>
    <w:p w14:paraId="53DE898B">
      <w:pPr>
        <w:spacing w:before="214" w:line="223" w:lineRule="auto"/>
        <w:ind w:left="1199"/>
        <w:outlineLvl w:val="6"/>
        <w:rPr>
          <w:rFonts w:ascii="黑体" w:hAnsi="黑体" w:eastAsia="黑体" w:cs="黑体"/>
          <w:sz w:val="63"/>
          <w:szCs w:val="63"/>
        </w:rPr>
      </w:pPr>
      <w:r>
        <w:rPr>
          <w:rFonts w:ascii="黑体" w:hAnsi="黑体" w:eastAsia="黑体" w:cs="黑体"/>
          <w:b/>
          <w:bCs/>
          <w:spacing w:val="-53"/>
          <w:sz w:val="63"/>
          <w:szCs w:val="63"/>
        </w:rPr>
        <w:t>六、有关要求</w:t>
      </w:r>
    </w:p>
    <w:p w14:paraId="2E707636">
      <w:pPr>
        <w:pStyle w:val="2"/>
        <w:spacing w:before="307" w:line="283" w:lineRule="auto"/>
        <w:ind w:right="86" w:firstLine="1399"/>
        <w:rPr>
          <w:sz w:val="61"/>
          <w:szCs w:val="61"/>
        </w:rPr>
      </w:pPr>
      <w:r>
        <w:rPr>
          <w:spacing w:val="-9"/>
          <w:sz w:val="61"/>
          <w:szCs w:val="61"/>
        </w:rPr>
        <w:t>(一)开展年度项目库征集工作是做好商贸流通业发展项目</w:t>
      </w:r>
      <w:r>
        <w:rPr>
          <w:spacing w:val="3"/>
          <w:sz w:val="61"/>
          <w:szCs w:val="61"/>
        </w:rPr>
        <w:t xml:space="preserve"> </w:t>
      </w:r>
      <w:r>
        <w:rPr>
          <w:spacing w:val="-22"/>
          <w:sz w:val="61"/>
          <w:szCs w:val="61"/>
        </w:rPr>
        <w:t>预算编制和政策制定的重要依据，各市商务部门要高度重视入库</w:t>
      </w:r>
      <w:r>
        <w:rPr>
          <w:spacing w:val="9"/>
          <w:sz w:val="61"/>
          <w:szCs w:val="61"/>
        </w:rPr>
        <w:t xml:space="preserve"> </w:t>
      </w:r>
      <w:r>
        <w:rPr>
          <w:spacing w:val="-22"/>
          <w:sz w:val="61"/>
          <w:szCs w:val="61"/>
        </w:rPr>
        <w:t>工作，广泛开展政策宣传，组织项目申报，认真审核把关</w:t>
      </w:r>
      <w:r>
        <w:rPr>
          <w:spacing w:val="-23"/>
          <w:sz w:val="61"/>
          <w:szCs w:val="61"/>
        </w:rPr>
        <w:t>，确保</w:t>
      </w:r>
      <w:r>
        <w:rPr>
          <w:sz w:val="61"/>
          <w:szCs w:val="61"/>
        </w:rPr>
        <w:t xml:space="preserve"> </w:t>
      </w:r>
      <w:r>
        <w:rPr>
          <w:spacing w:val="-27"/>
          <w:sz w:val="61"/>
          <w:szCs w:val="61"/>
        </w:rPr>
        <w:t>入库项目质量。</w:t>
      </w:r>
    </w:p>
    <w:p w14:paraId="47A519F4">
      <w:pPr>
        <w:pStyle w:val="2"/>
        <w:spacing w:before="233" w:line="276" w:lineRule="auto"/>
        <w:ind w:right="60" w:firstLine="1399"/>
        <w:rPr>
          <w:sz w:val="61"/>
          <w:szCs w:val="61"/>
        </w:rPr>
      </w:pPr>
      <w:r>
        <w:rPr>
          <w:spacing w:val="-11"/>
          <w:sz w:val="61"/>
          <w:szCs w:val="61"/>
        </w:rPr>
        <w:t>(二)入库项目申报单位应按照实事求是的原则填报入库项</w:t>
      </w:r>
      <w:r>
        <w:rPr>
          <w:spacing w:val="7"/>
          <w:sz w:val="61"/>
          <w:szCs w:val="61"/>
        </w:rPr>
        <w:t xml:space="preserve"> </w:t>
      </w:r>
      <w:r>
        <w:rPr>
          <w:spacing w:val="-25"/>
          <w:sz w:val="61"/>
          <w:szCs w:val="61"/>
        </w:rPr>
        <w:t>目信息。年底前完工投入使用的储备项目，相关信息填报应以确</w:t>
      </w:r>
      <w:r>
        <w:rPr>
          <w:spacing w:val="8"/>
          <w:sz w:val="61"/>
          <w:szCs w:val="61"/>
        </w:rPr>
        <w:t xml:space="preserve"> </w:t>
      </w:r>
      <w:r>
        <w:rPr>
          <w:spacing w:val="-21"/>
          <w:sz w:val="61"/>
          <w:szCs w:val="61"/>
        </w:rPr>
        <w:t>定的项目投资计划、建设合同等为基本依据。项目投资不含征地</w:t>
      </w:r>
      <w:r>
        <w:rPr>
          <w:spacing w:val="7"/>
          <w:sz w:val="61"/>
          <w:szCs w:val="61"/>
        </w:rPr>
        <w:t xml:space="preserve"> </w:t>
      </w:r>
      <w:r>
        <w:rPr>
          <w:spacing w:val="-26"/>
          <w:sz w:val="61"/>
          <w:szCs w:val="61"/>
        </w:rPr>
        <w:t>拆迁费用以及人员经费等日常经营性开支。</w:t>
      </w:r>
    </w:p>
    <w:p w14:paraId="76269EA2">
      <w:pPr>
        <w:pStyle w:val="2"/>
        <w:spacing w:before="178" w:line="291" w:lineRule="auto"/>
        <w:ind w:left="8" w:right="20" w:firstLine="1190"/>
        <w:rPr>
          <w:sz w:val="61"/>
          <w:szCs w:val="61"/>
        </w:rPr>
      </w:pPr>
      <w:r>
        <w:rPr>
          <w:b/>
          <w:bCs/>
          <w:spacing w:val="-3"/>
          <w:sz w:val="61"/>
          <w:szCs w:val="61"/>
        </w:rPr>
        <w:t>各市入库项目推荐情况汇总表(加盖市级商务部门印章)于</w:t>
      </w:r>
      <w:r>
        <w:rPr>
          <w:spacing w:val="1"/>
          <w:sz w:val="61"/>
          <w:szCs w:val="61"/>
        </w:rPr>
        <w:t xml:space="preserve"> </w:t>
      </w:r>
      <w:r>
        <w:rPr>
          <w:b/>
          <w:bCs/>
          <w:spacing w:val="-5"/>
          <w:sz w:val="61"/>
          <w:szCs w:val="61"/>
        </w:rPr>
        <w:t>2024年9月5日前报送省商务厅。后续新增入库项目以及入库项</w:t>
      </w:r>
    </w:p>
    <w:p w14:paraId="71E4DAF1">
      <w:pPr>
        <w:spacing w:line="291" w:lineRule="auto"/>
        <w:rPr>
          <w:sz w:val="61"/>
          <w:szCs w:val="61"/>
        </w:rPr>
        <w:sectPr>
          <w:footerReference r:id="rId7" w:type="default"/>
          <w:pgSz w:w="21686" w:h="31680"/>
          <w:pgMar w:top="2692" w:right="2249" w:bottom="3475" w:left="2875" w:header="0" w:footer="2848" w:gutter="0"/>
          <w:cols w:space="720" w:num="1"/>
        </w:sectPr>
      </w:pPr>
    </w:p>
    <w:p w14:paraId="5D5FC018">
      <w:pPr>
        <w:spacing w:line="414" w:lineRule="auto"/>
        <w:rPr>
          <w:rFonts w:ascii="Arial"/>
          <w:sz w:val="21"/>
        </w:rPr>
      </w:pPr>
    </w:p>
    <w:p w14:paraId="5ABDD895">
      <w:pPr>
        <w:pStyle w:val="2"/>
        <w:spacing w:before="195" w:line="270" w:lineRule="auto"/>
        <w:ind w:left="1113" w:right="1640" w:hanging="1113"/>
        <w:rPr>
          <w:rFonts w:ascii="Times New Roman" w:hAnsi="Times New Roman" w:eastAsia="Times New Roman" w:cs="Times New Roman"/>
          <w:sz w:val="60"/>
          <w:szCs w:val="60"/>
        </w:rPr>
      </w:pPr>
      <w:r>
        <w:rPr>
          <w:b/>
          <w:bCs/>
          <w:spacing w:val="-17"/>
          <w:sz w:val="60"/>
          <w:szCs w:val="60"/>
        </w:rPr>
        <w:t>目进展情况分别于每季度结束后5日内相对集中报送。</w:t>
      </w:r>
      <w:r>
        <w:rPr>
          <w:sz w:val="60"/>
          <w:szCs w:val="60"/>
        </w:rPr>
        <w:t xml:space="preserve"> </w:t>
      </w:r>
      <w:r>
        <w:rPr>
          <w:b/>
          <w:bCs/>
          <w:spacing w:val="1"/>
          <w:sz w:val="60"/>
          <w:szCs w:val="60"/>
        </w:rPr>
        <w:t>联系方式：63540501,</w:t>
      </w:r>
      <w:r>
        <w:rPr>
          <w:rFonts w:ascii="Times New Roman" w:hAnsi="Times New Roman" w:eastAsia="Times New Roman" w:cs="Times New Roman"/>
          <w:b/>
          <w:bCs/>
          <w:sz w:val="60"/>
          <w:szCs w:val="60"/>
        </w:rPr>
        <w:t>xiapoahbof</w:t>
      </w:r>
      <w:r>
        <w:rPr>
          <w:rFonts w:ascii="Times New Roman" w:hAnsi="Times New Roman" w:eastAsia="Times New Roman" w:cs="Times New Roman"/>
          <w:b/>
          <w:bCs/>
          <w:spacing w:val="1"/>
          <w:sz w:val="60"/>
          <w:szCs w:val="6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60"/>
          <w:szCs w:val="60"/>
        </w:rPr>
        <w:t>com</w:t>
      </w:r>
      <w:r>
        <w:rPr>
          <w:rFonts w:ascii="Times New Roman" w:hAnsi="Times New Roman" w:eastAsia="Times New Roman" w:cs="Times New Roman"/>
          <w:b/>
          <w:bCs/>
          <w:spacing w:val="1"/>
          <w:sz w:val="60"/>
          <w:szCs w:val="60"/>
        </w:rPr>
        <w:t>.</w:t>
      </w:r>
      <w:r>
        <w:rPr>
          <w:rFonts w:ascii="Times New Roman" w:hAnsi="Times New Roman" w:eastAsia="Times New Roman" w:cs="Times New Roman"/>
          <w:b/>
          <w:bCs/>
          <w:sz w:val="60"/>
          <w:szCs w:val="60"/>
        </w:rPr>
        <w:t>gov</w:t>
      </w:r>
      <w:r>
        <w:rPr>
          <w:rFonts w:ascii="Times New Roman" w:hAnsi="Times New Roman" w:eastAsia="Times New Roman" w:cs="Times New Roman"/>
          <w:b/>
          <w:bCs/>
          <w:spacing w:val="1"/>
          <w:sz w:val="60"/>
          <w:szCs w:val="60"/>
        </w:rPr>
        <w:t>.</w:t>
      </w:r>
      <w:r>
        <w:rPr>
          <w:rFonts w:ascii="Times New Roman" w:hAnsi="Times New Roman" w:eastAsia="Times New Roman" w:cs="Times New Roman"/>
          <w:b/>
          <w:bCs/>
          <w:sz w:val="60"/>
          <w:szCs w:val="60"/>
        </w:rPr>
        <w:t>cn</w:t>
      </w:r>
    </w:p>
    <w:p w14:paraId="5788D22C">
      <w:pPr>
        <w:spacing w:line="247" w:lineRule="auto"/>
        <w:rPr>
          <w:rFonts w:ascii="Arial"/>
          <w:sz w:val="21"/>
        </w:rPr>
      </w:pPr>
    </w:p>
    <w:p w14:paraId="748AFFB1">
      <w:pPr>
        <w:spacing w:line="247" w:lineRule="auto"/>
        <w:rPr>
          <w:rFonts w:ascii="Arial"/>
          <w:sz w:val="21"/>
        </w:rPr>
      </w:pPr>
    </w:p>
    <w:p w14:paraId="1FAFB71E">
      <w:pPr>
        <w:spacing w:line="247" w:lineRule="auto"/>
        <w:rPr>
          <w:rFonts w:ascii="Arial"/>
          <w:sz w:val="21"/>
        </w:rPr>
      </w:pPr>
    </w:p>
    <w:p w14:paraId="4B9D514C">
      <w:pPr>
        <w:spacing w:line="247" w:lineRule="auto"/>
        <w:rPr>
          <w:rFonts w:ascii="Arial"/>
          <w:sz w:val="21"/>
        </w:rPr>
      </w:pPr>
    </w:p>
    <w:p w14:paraId="26083A67">
      <w:pPr>
        <w:pStyle w:val="2"/>
        <w:spacing w:before="195" w:line="223" w:lineRule="auto"/>
        <w:ind w:left="1113"/>
        <w:rPr>
          <w:sz w:val="60"/>
          <w:szCs w:val="60"/>
        </w:rPr>
      </w:pPr>
      <w:r>
        <w:rPr>
          <w:b/>
          <w:bCs/>
          <w:spacing w:val="-14"/>
          <w:sz w:val="60"/>
          <w:szCs w:val="60"/>
        </w:rPr>
        <w:t>附件：2024年度商贸流通业发展项目推荐情况汇总表</w:t>
      </w:r>
    </w:p>
    <w:p w14:paraId="1CFB8B59">
      <w:pPr>
        <w:spacing w:line="256" w:lineRule="auto"/>
        <w:rPr>
          <w:rFonts w:ascii="Arial"/>
          <w:sz w:val="21"/>
        </w:rPr>
      </w:pPr>
    </w:p>
    <w:p w14:paraId="4558CE6C">
      <w:pPr>
        <w:spacing w:line="256" w:lineRule="auto"/>
        <w:rPr>
          <w:rFonts w:ascii="Arial"/>
          <w:sz w:val="21"/>
        </w:rPr>
      </w:pPr>
    </w:p>
    <w:p w14:paraId="12A1F4CF">
      <w:pPr>
        <w:spacing w:line="256" w:lineRule="auto"/>
        <w:rPr>
          <w:rFonts w:ascii="Arial"/>
          <w:sz w:val="21"/>
        </w:rPr>
      </w:pPr>
    </w:p>
    <w:p w14:paraId="00DBDEE0">
      <w:pPr>
        <w:spacing w:line="256" w:lineRule="auto"/>
        <w:rPr>
          <w:rFonts w:ascii="Arial"/>
          <w:sz w:val="21"/>
        </w:rPr>
      </w:pPr>
    </w:p>
    <w:p w14:paraId="2874609F">
      <w:pPr>
        <w:spacing w:line="256" w:lineRule="auto"/>
        <w:rPr>
          <w:rFonts w:ascii="Arial"/>
          <w:sz w:val="21"/>
        </w:rPr>
      </w:pPr>
    </w:p>
    <w:p w14:paraId="6737080D">
      <w:pPr>
        <w:spacing w:line="256" w:lineRule="auto"/>
        <w:rPr>
          <w:rFonts w:ascii="Arial"/>
          <w:sz w:val="21"/>
        </w:rPr>
      </w:pPr>
    </w:p>
    <w:p w14:paraId="4C4D53E6">
      <w:pPr>
        <w:spacing w:line="256" w:lineRule="auto"/>
        <w:rPr>
          <w:rFonts w:ascii="Arial"/>
          <w:sz w:val="21"/>
        </w:rPr>
      </w:pPr>
    </w:p>
    <w:p w14:paraId="79AA827F">
      <w:pPr>
        <w:spacing w:line="256" w:lineRule="auto"/>
        <w:rPr>
          <w:rFonts w:ascii="Arial"/>
          <w:sz w:val="21"/>
        </w:rPr>
      </w:pPr>
    </w:p>
    <w:p w14:paraId="61AB5613">
      <w:pPr>
        <w:pStyle w:val="2"/>
        <w:spacing w:before="186" w:line="302" w:lineRule="auto"/>
        <w:ind w:left="10107" w:right="876" w:firstLine="600"/>
        <w:rPr>
          <w:sz w:val="57"/>
          <w:szCs w:val="57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6753860</wp:posOffset>
            </wp:positionH>
            <wp:positionV relativeFrom="paragraph">
              <wp:posOffset>-1126490</wp:posOffset>
            </wp:positionV>
            <wp:extent cx="2757805" cy="284162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58113" cy="2841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pacing w:val="-8"/>
          <w:sz w:val="57"/>
          <w:szCs w:val="57"/>
        </w:rPr>
        <w:t>安徽省商务斥</w:t>
      </w:r>
      <w:r>
        <w:rPr>
          <w:sz w:val="57"/>
          <w:szCs w:val="57"/>
        </w:rPr>
        <w:t xml:space="preserve">  </w:t>
      </w:r>
      <w:r>
        <w:rPr>
          <w:b/>
          <w:bCs/>
          <w:spacing w:val="73"/>
          <w:sz w:val="57"/>
          <w:szCs w:val="57"/>
        </w:rPr>
        <w:t>2024年8月16日</w:t>
      </w:r>
    </w:p>
    <w:p w14:paraId="0540C598">
      <w:pPr>
        <w:spacing w:line="302" w:lineRule="auto"/>
        <w:rPr>
          <w:sz w:val="57"/>
          <w:szCs w:val="57"/>
        </w:rPr>
        <w:sectPr>
          <w:footerReference r:id="rId8" w:type="default"/>
          <w:pgSz w:w="21166" w:h="31680"/>
          <w:pgMar w:top="2692" w:right="3174" w:bottom="3295" w:left="2505" w:header="0" w:footer="2398" w:gutter="0"/>
          <w:cols w:space="720" w:num="1"/>
        </w:sectPr>
      </w:pPr>
    </w:p>
    <w:p w14:paraId="1AF9B2B0">
      <w:pPr>
        <w:spacing w:before="80" w:line="225" w:lineRule="auto"/>
        <w:ind w:left="92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b/>
          <w:bCs/>
          <w:spacing w:val="-14"/>
          <w:sz w:val="40"/>
          <w:szCs w:val="40"/>
        </w:rPr>
        <w:t>附件</w:t>
      </w:r>
    </w:p>
    <w:p w14:paraId="4B708EB8">
      <w:pPr>
        <w:spacing w:before="378" w:line="221" w:lineRule="auto"/>
        <w:ind w:left="10235"/>
        <w:rPr>
          <w:rFonts w:ascii="宋体" w:hAnsi="宋体" w:eastAsia="宋体" w:cs="宋体"/>
          <w:sz w:val="59"/>
          <w:szCs w:val="59"/>
        </w:rPr>
      </w:pPr>
      <w:r>
        <w:rPr>
          <w:rFonts w:ascii="宋体" w:hAnsi="宋体" w:eastAsia="宋体" w:cs="宋体"/>
          <w:b/>
          <w:bCs/>
          <w:spacing w:val="2"/>
          <w:sz w:val="59"/>
          <w:szCs w:val="59"/>
        </w:rPr>
        <w:t>2024年度商贸流通业发展项目储备表</w:t>
      </w:r>
    </w:p>
    <w:p w14:paraId="1CC1C4C6">
      <w:pPr>
        <w:spacing w:before="327" w:line="229" w:lineRule="auto"/>
        <w:ind w:left="3"/>
        <w:rPr>
          <w:rFonts w:ascii="宋体" w:hAnsi="宋体" w:eastAsia="宋体" w:cs="宋体"/>
          <w:sz w:val="34"/>
          <w:szCs w:val="34"/>
        </w:rPr>
      </w:pPr>
      <w:r>
        <w:rPr>
          <w:rFonts w:ascii="宋体" w:hAnsi="宋体" w:eastAsia="宋体" w:cs="宋体"/>
          <w:position w:val="-1"/>
          <w:sz w:val="34"/>
          <w:szCs w:val="34"/>
        </w:rPr>
        <w:t xml:space="preserve">填报单位：                                                                  联系人：                  </w:t>
      </w:r>
      <w:r>
        <w:rPr>
          <w:rFonts w:ascii="宋体" w:hAnsi="宋体" w:eastAsia="宋体" w:cs="宋体"/>
          <w:position w:val="-2"/>
          <w:sz w:val="34"/>
          <w:szCs w:val="34"/>
        </w:rPr>
        <w:t xml:space="preserve">联系电话：                                        </w:t>
      </w:r>
      <w:r>
        <w:rPr>
          <w:rFonts w:ascii="宋体" w:hAnsi="宋体" w:eastAsia="宋体" w:cs="宋体"/>
          <w:position w:val="3"/>
          <w:sz w:val="34"/>
          <w:szCs w:val="34"/>
        </w:rPr>
        <w:t>填报时问：</w:t>
      </w:r>
      <w:r>
        <w:rPr>
          <w:rFonts w:ascii="宋体" w:hAnsi="宋体" w:eastAsia="宋体" w:cs="宋体"/>
          <w:spacing w:val="40"/>
          <w:position w:val="3"/>
          <w:sz w:val="34"/>
          <w:szCs w:val="34"/>
        </w:rPr>
        <w:t xml:space="preserve">  </w:t>
      </w:r>
      <w:r>
        <w:rPr>
          <w:rFonts w:ascii="宋体" w:hAnsi="宋体" w:eastAsia="宋体" w:cs="宋体"/>
          <w:position w:val="3"/>
          <w:sz w:val="34"/>
          <w:szCs w:val="34"/>
        </w:rPr>
        <w:t>年</w:t>
      </w:r>
      <w:r>
        <w:rPr>
          <w:rFonts w:ascii="宋体" w:hAnsi="宋体" w:eastAsia="宋体" w:cs="宋体"/>
          <w:spacing w:val="37"/>
          <w:position w:val="3"/>
          <w:sz w:val="34"/>
          <w:szCs w:val="34"/>
        </w:rPr>
        <w:t xml:space="preserve"> </w:t>
      </w:r>
      <w:r>
        <w:rPr>
          <w:rFonts w:ascii="宋体" w:hAnsi="宋体" w:eastAsia="宋体" w:cs="宋体"/>
          <w:position w:val="3"/>
          <w:sz w:val="34"/>
          <w:szCs w:val="34"/>
        </w:rPr>
        <w:t>月</w:t>
      </w:r>
      <w:r>
        <w:rPr>
          <w:rFonts w:ascii="宋体" w:hAnsi="宋体" w:eastAsia="宋体" w:cs="宋体"/>
          <w:spacing w:val="88"/>
          <w:position w:val="3"/>
          <w:sz w:val="34"/>
          <w:szCs w:val="34"/>
        </w:rPr>
        <w:t xml:space="preserve"> </w:t>
      </w:r>
      <w:r>
        <w:rPr>
          <w:rFonts w:ascii="宋体" w:hAnsi="宋体" w:eastAsia="宋体" w:cs="宋体"/>
          <w:position w:val="3"/>
          <w:sz w:val="34"/>
          <w:szCs w:val="34"/>
        </w:rPr>
        <w:t>日</w:t>
      </w:r>
    </w:p>
    <w:p w14:paraId="4BFDEC14">
      <w:pPr>
        <w:spacing w:line="98" w:lineRule="exact"/>
      </w:pPr>
    </w:p>
    <w:tbl>
      <w:tblPr>
        <w:tblStyle w:val="5"/>
        <w:tblW w:w="265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5"/>
        <w:gridCol w:w="3050"/>
        <w:gridCol w:w="3115"/>
        <w:gridCol w:w="2630"/>
        <w:gridCol w:w="1609"/>
        <w:gridCol w:w="2061"/>
        <w:gridCol w:w="2068"/>
        <w:gridCol w:w="1247"/>
        <w:gridCol w:w="1208"/>
        <w:gridCol w:w="1240"/>
        <w:gridCol w:w="2914"/>
        <w:gridCol w:w="2811"/>
        <w:gridCol w:w="1541"/>
      </w:tblGrid>
      <w:tr w14:paraId="7D28B7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7" w:hRule="atLeast"/>
        </w:trPr>
        <w:tc>
          <w:tcPr>
            <w:tcW w:w="1095" w:type="dxa"/>
            <w:vMerge w:val="restart"/>
            <w:tcBorders>
              <w:bottom w:val="nil"/>
            </w:tcBorders>
            <w:vAlign w:val="top"/>
          </w:tcPr>
          <w:p w14:paraId="27DFC724">
            <w:pPr>
              <w:pStyle w:val="6"/>
            </w:pPr>
          </w:p>
          <w:p w14:paraId="72043255">
            <w:pPr>
              <w:pStyle w:val="6"/>
            </w:pPr>
          </w:p>
          <w:p w14:paraId="105988EF">
            <w:pPr>
              <w:pStyle w:val="6"/>
            </w:pPr>
          </w:p>
          <w:p w14:paraId="49951A8C">
            <w:pPr>
              <w:pStyle w:val="6"/>
              <w:spacing w:line="241" w:lineRule="auto"/>
            </w:pPr>
          </w:p>
          <w:p w14:paraId="03981CB3">
            <w:pPr>
              <w:pStyle w:val="6"/>
              <w:spacing w:line="241" w:lineRule="auto"/>
            </w:pPr>
          </w:p>
          <w:p w14:paraId="06157832">
            <w:pPr>
              <w:spacing w:before="104" w:line="226" w:lineRule="auto"/>
              <w:ind w:left="211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9"/>
                <w:sz w:val="32"/>
                <w:szCs w:val="32"/>
              </w:rPr>
              <w:t>序号</w:t>
            </w:r>
          </w:p>
        </w:tc>
        <w:tc>
          <w:tcPr>
            <w:tcW w:w="3050" w:type="dxa"/>
            <w:vMerge w:val="restart"/>
            <w:tcBorders>
              <w:bottom w:val="nil"/>
            </w:tcBorders>
            <w:vAlign w:val="top"/>
          </w:tcPr>
          <w:p w14:paraId="210FD937">
            <w:pPr>
              <w:pStyle w:val="6"/>
              <w:spacing w:line="299" w:lineRule="auto"/>
            </w:pPr>
          </w:p>
          <w:p w14:paraId="1CFAD7E9">
            <w:pPr>
              <w:pStyle w:val="6"/>
              <w:spacing w:line="300" w:lineRule="auto"/>
            </w:pPr>
          </w:p>
          <w:p w14:paraId="0E869737">
            <w:pPr>
              <w:pStyle w:val="6"/>
              <w:spacing w:line="300" w:lineRule="auto"/>
            </w:pPr>
          </w:p>
          <w:p w14:paraId="0F698472">
            <w:pPr>
              <w:pStyle w:val="6"/>
              <w:spacing w:line="300" w:lineRule="auto"/>
            </w:pPr>
          </w:p>
          <w:p w14:paraId="56D17A35">
            <w:pPr>
              <w:spacing w:before="104" w:line="226" w:lineRule="auto"/>
              <w:ind w:left="531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2"/>
                <w:sz w:val="32"/>
                <w:szCs w:val="32"/>
              </w:rPr>
              <w:t>项目单位名称</w:t>
            </w:r>
          </w:p>
        </w:tc>
        <w:tc>
          <w:tcPr>
            <w:tcW w:w="3115" w:type="dxa"/>
            <w:vMerge w:val="restart"/>
            <w:tcBorders>
              <w:bottom w:val="nil"/>
            </w:tcBorders>
            <w:vAlign w:val="top"/>
          </w:tcPr>
          <w:p w14:paraId="72687079">
            <w:pPr>
              <w:pStyle w:val="6"/>
              <w:spacing w:line="299" w:lineRule="auto"/>
            </w:pPr>
          </w:p>
          <w:p w14:paraId="07B99D4C">
            <w:pPr>
              <w:pStyle w:val="6"/>
              <w:spacing w:line="299" w:lineRule="auto"/>
            </w:pPr>
          </w:p>
          <w:p w14:paraId="673A2E5D">
            <w:pPr>
              <w:pStyle w:val="6"/>
              <w:spacing w:line="300" w:lineRule="auto"/>
            </w:pPr>
          </w:p>
          <w:p w14:paraId="114CD6D2">
            <w:pPr>
              <w:pStyle w:val="6"/>
              <w:spacing w:line="300" w:lineRule="auto"/>
            </w:pPr>
          </w:p>
          <w:p w14:paraId="7E09D298">
            <w:pPr>
              <w:spacing w:before="104" w:line="225" w:lineRule="auto"/>
              <w:ind w:left="89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6"/>
                <w:sz w:val="32"/>
                <w:szCs w:val="32"/>
              </w:rPr>
              <w:t>营业执照</w:t>
            </w:r>
          </w:p>
        </w:tc>
        <w:tc>
          <w:tcPr>
            <w:tcW w:w="2630" w:type="dxa"/>
            <w:vMerge w:val="restart"/>
            <w:tcBorders>
              <w:bottom w:val="nil"/>
            </w:tcBorders>
            <w:vAlign w:val="top"/>
          </w:tcPr>
          <w:p w14:paraId="0F4DB153">
            <w:pPr>
              <w:pStyle w:val="6"/>
              <w:spacing w:line="299" w:lineRule="auto"/>
            </w:pPr>
          </w:p>
          <w:p w14:paraId="0AF335A5">
            <w:pPr>
              <w:pStyle w:val="6"/>
              <w:spacing w:line="299" w:lineRule="auto"/>
            </w:pPr>
          </w:p>
          <w:p w14:paraId="051DC61F">
            <w:pPr>
              <w:pStyle w:val="6"/>
              <w:spacing w:line="300" w:lineRule="auto"/>
            </w:pPr>
          </w:p>
          <w:p w14:paraId="0F8909CC">
            <w:pPr>
              <w:pStyle w:val="6"/>
              <w:spacing w:line="300" w:lineRule="auto"/>
            </w:pPr>
          </w:p>
          <w:p w14:paraId="211AD56E">
            <w:pPr>
              <w:spacing w:before="104" w:line="225" w:lineRule="auto"/>
              <w:ind w:left="687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6"/>
                <w:sz w:val="32"/>
                <w:szCs w:val="32"/>
              </w:rPr>
              <w:t>项目类别</w:t>
            </w:r>
          </w:p>
        </w:tc>
        <w:tc>
          <w:tcPr>
            <w:tcW w:w="1609" w:type="dxa"/>
            <w:vMerge w:val="restart"/>
            <w:tcBorders>
              <w:bottom w:val="nil"/>
            </w:tcBorders>
            <w:vAlign w:val="top"/>
          </w:tcPr>
          <w:p w14:paraId="7114F1C2">
            <w:pPr>
              <w:pStyle w:val="6"/>
              <w:spacing w:line="259" w:lineRule="auto"/>
            </w:pPr>
          </w:p>
          <w:p w14:paraId="4F26F022">
            <w:pPr>
              <w:pStyle w:val="6"/>
              <w:spacing w:line="259" w:lineRule="auto"/>
            </w:pPr>
          </w:p>
          <w:p w14:paraId="08C61111">
            <w:pPr>
              <w:pStyle w:val="6"/>
              <w:spacing w:line="260" w:lineRule="auto"/>
            </w:pPr>
          </w:p>
          <w:p w14:paraId="71891171">
            <w:pPr>
              <w:pStyle w:val="6"/>
              <w:spacing w:line="260" w:lineRule="auto"/>
            </w:pPr>
          </w:p>
          <w:p w14:paraId="17273BD6">
            <w:pPr>
              <w:spacing w:before="104" w:line="232" w:lineRule="auto"/>
              <w:ind w:left="622" w:right="109" w:hanging="465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4"/>
                <w:sz w:val="32"/>
                <w:szCs w:val="32"/>
              </w:rPr>
              <w:t>项目所在</w:t>
            </w:r>
            <w:r>
              <w:rPr>
                <w:rFonts w:ascii="宋体" w:hAnsi="宋体" w:eastAsia="宋体" w:cs="宋体"/>
                <w:sz w:val="32"/>
                <w:szCs w:val="32"/>
              </w:rPr>
              <w:t xml:space="preserve"> 地</w:t>
            </w:r>
          </w:p>
        </w:tc>
        <w:tc>
          <w:tcPr>
            <w:tcW w:w="2061" w:type="dxa"/>
            <w:vMerge w:val="restart"/>
            <w:tcBorders>
              <w:bottom w:val="nil"/>
            </w:tcBorders>
            <w:vAlign w:val="top"/>
          </w:tcPr>
          <w:p w14:paraId="59F6D26B">
            <w:pPr>
              <w:pStyle w:val="6"/>
              <w:spacing w:line="286" w:lineRule="auto"/>
            </w:pPr>
          </w:p>
          <w:p w14:paraId="74D9AFC6">
            <w:pPr>
              <w:pStyle w:val="6"/>
              <w:spacing w:line="286" w:lineRule="auto"/>
            </w:pPr>
          </w:p>
          <w:p w14:paraId="58EFFE62">
            <w:pPr>
              <w:pStyle w:val="6"/>
              <w:spacing w:line="286" w:lineRule="auto"/>
            </w:pPr>
          </w:p>
          <w:p w14:paraId="1980A3D8">
            <w:pPr>
              <w:spacing w:before="104" w:line="220" w:lineRule="auto"/>
              <w:ind w:left="36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3"/>
                <w:sz w:val="32"/>
                <w:szCs w:val="32"/>
              </w:rPr>
              <w:t>项目状态</w:t>
            </w:r>
          </w:p>
          <w:p w14:paraId="6DDAA917">
            <w:pPr>
              <w:spacing w:before="2" w:line="221" w:lineRule="auto"/>
              <w:ind w:left="364" w:right="44" w:hanging="19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1"/>
                <w:sz w:val="32"/>
                <w:szCs w:val="32"/>
              </w:rPr>
              <w:t>(已完工/在</w:t>
            </w:r>
            <w:r>
              <w:rPr>
                <w:rFonts w:ascii="宋体" w:hAnsi="宋体" w:eastAsia="宋体" w:cs="宋体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32"/>
                <w:szCs w:val="32"/>
              </w:rPr>
              <w:t>建/拟建)</w:t>
            </w:r>
          </w:p>
        </w:tc>
        <w:tc>
          <w:tcPr>
            <w:tcW w:w="2068" w:type="dxa"/>
            <w:vMerge w:val="restart"/>
            <w:tcBorders>
              <w:bottom w:val="nil"/>
            </w:tcBorders>
            <w:vAlign w:val="top"/>
          </w:tcPr>
          <w:p w14:paraId="1C2B6830">
            <w:pPr>
              <w:pStyle w:val="6"/>
              <w:spacing w:line="250" w:lineRule="auto"/>
            </w:pPr>
          </w:p>
          <w:p w14:paraId="00EB7282">
            <w:pPr>
              <w:pStyle w:val="6"/>
              <w:spacing w:line="250" w:lineRule="auto"/>
            </w:pPr>
          </w:p>
          <w:p w14:paraId="08FEEF0D">
            <w:pPr>
              <w:pStyle w:val="6"/>
              <w:spacing w:line="250" w:lineRule="auto"/>
            </w:pPr>
          </w:p>
          <w:p w14:paraId="63F24F56">
            <w:pPr>
              <w:pStyle w:val="6"/>
              <w:spacing w:line="250" w:lineRule="auto"/>
            </w:pPr>
          </w:p>
          <w:p w14:paraId="04CB74AD">
            <w:pPr>
              <w:spacing w:before="104" w:line="238" w:lineRule="auto"/>
              <w:ind w:left="532" w:right="197" w:hanging="329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2"/>
                <w:sz w:val="32"/>
                <w:szCs w:val="32"/>
              </w:rPr>
              <w:t>项目建设起</w:t>
            </w:r>
            <w:r>
              <w:rPr>
                <w:rFonts w:ascii="宋体" w:hAnsi="宋体" w:eastAsia="宋体" w:cs="宋体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32"/>
                <w:szCs w:val="32"/>
              </w:rPr>
              <w:t>止日期</w:t>
            </w:r>
          </w:p>
        </w:tc>
        <w:tc>
          <w:tcPr>
            <w:tcW w:w="3695" w:type="dxa"/>
            <w:gridSpan w:val="3"/>
            <w:vAlign w:val="top"/>
          </w:tcPr>
          <w:p w14:paraId="230F955C">
            <w:pPr>
              <w:pStyle w:val="6"/>
              <w:spacing w:line="243" w:lineRule="auto"/>
            </w:pPr>
          </w:p>
          <w:p w14:paraId="459E99FE">
            <w:pPr>
              <w:pStyle w:val="6"/>
              <w:spacing w:line="243" w:lineRule="auto"/>
            </w:pPr>
          </w:p>
          <w:p w14:paraId="3ADC3CA0">
            <w:pPr>
              <w:spacing w:before="104" w:line="226" w:lineRule="auto"/>
              <w:ind w:left="449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6"/>
                <w:sz w:val="32"/>
                <w:szCs w:val="32"/>
              </w:rPr>
              <w:t>项目总投资(万元)</w:t>
            </w:r>
          </w:p>
        </w:tc>
        <w:tc>
          <w:tcPr>
            <w:tcW w:w="2914" w:type="dxa"/>
            <w:vMerge w:val="restart"/>
            <w:tcBorders>
              <w:bottom w:val="nil"/>
            </w:tcBorders>
            <w:vAlign w:val="top"/>
          </w:tcPr>
          <w:p w14:paraId="5EFFBF55">
            <w:pPr>
              <w:pStyle w:val="6"/>
              <w:spacing w:line="254" w:lineRule="auto"/>
            </w:pPr>
          </w:p>
          <w:p w14:paraId="0262D0FE">
            <w:pPr>
              <w:pStyle w:val="6"/>
              <w:spacing w:line="254" w:lineRule="auto"/>
            </w:pPr>
          </w:p>
          <w:p w14:paraId="14833A9F">
            <w:pPr>
              <w:pStyle w:val="6"/>
              <w:spacing w:line="255" w:lineRule="auto"/>
            </w:pPr>
          </w:p>
          <w:p w14:paraId="4D29DB0B">
            <w:pPr>
              <w:pStyle w:val="6"/>
              <w:spacing w:line="255" w:lineRule="auto"/>
            </w:pPr>
          </w:p>
          <w:p w14:paraId="0CBAB7CF">
            <w:pPr>
              <w:spacing w:before="104" w:line="224" w:lineRule="auto"/>
              <w:ind w:left="218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0"/>
                <w:sz w:val="32"/>
                <w:szCs w:val="32"/>
              </w:rPr>
              <w:t>企业基本情况(不</w:t>
            </w:r>
          </w:p>
          <w:p w14:paraId="7CBBEEDB">
            <w:pPr>
              <w:spacing w:line="225" w:lineRule="auto"/>
              <w:ind w:left="632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7"/>
                <w:sz w:val="32"/>
                <w:szCs w:val="32"/>
              </w:rPr>
              <w:t>超过300字)</w:t>
            </w:r>
          </w:p>
        </w:tc>
        <w:tc>
          <w:tcPr>
            <w:tcW w:w="2811" w:type="dxa"/>
            <w:vMerge w:val="restart"/>
            <w:tcBorders>
              <w:bottom w:val="nil"/>
            </w:tcBorders>
            <w:vAlign w:val="top"/>
          </w:tcPr>
          <w:p w14:paraId="6399B9F4">
            <w:pPr>
              <w:pStyle w:val="6"/>
              <w:spacing w:line="318" w:lineRule="auto"/>
            </w:pPr>
          </w:p>
          <w:p w14:paraId="3231BD2B">
            <w:pPr>
              <w:pStyle w:val="6"/>
              <w:spacing w:line="319" w:lineRule="auto"/>
            </w:pPr>
          </w:p>
          <w:p w14:paraId="00602CB5">
            <w:pPr>
              <w:spacing w:before="104" w:line="223" w:lineRule="auto"/>
              <w:ind w:left="1240" w:right="70" w:hanging="1156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1"/>
                <w:sz w:val="32"/>
                <w:szCs w:val="32"/>
              </w:rPr>
              <w:t>项目经济和杜会效</w:t>
            </w:r>
            <w:r>
              <w:rPr>
                <w:rFonts w:ascii="宋体" w:hAnsi="宋体" w:eastAsia="宋体" w:cs="宋体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z w:val="32"/>
                <w:szCs w:val="32"/>
              </w:rPr>
              <w:t>益</w:t>
            </w:r>
          </w:p>
          <w:p w14:paraId="08F291D3">
            <w:pPr>
              <w:spacing w:before="2" w:line="237" w:lineRule="auto"/>
              <w:ind w:left="496" w:hanging="13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5"/>
                <w:sz w:val="32"/>
                <w:szCs w:val="32"/>
              </w:rPr>
              <w:t>(应有量化可审核</w:t>
            </w:r>
            <w:r>
              <w:rPr>
                <w:rFonts w:ascii="宋体" w:hAnsi="宋体" w:eastAsia="宋体" w:cs="宋体"/>
                <w:spacing w:val="2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17"/>
                <w:sz w:val="32"/>
                <w:szCs w:val="32"/>
              </w:rPr>
              <w:t>的填效目标)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vAlign w:val="top"/>
          </w:tcPr>
          <w:p w14:paraId="5A988B2E">
            <w:pPr>
              <w:pStyle w:val="6"/>
            </w:pPr>
          </w:p>
          <w:p w14:paraId="3321B1D0">
            <w:pPr>
              <w:pStyle w:val="6"/>
            </w:pPr>
          </w:p>
          <w:p w14:paraId="5B4F4322">
            <w:pPr>
              <w:pStyle w:val="6"/>
            </w:pPr>
          </w:p>
          <w:p w14:paraId="6F5ECB90">
            <w:pPr>
              <w:pStyle w:val="6"/>
              <w:spacing w:line="241" w:lineRule="auto"/>
            </w:pPr>
          </w:p>
          <w:p w14:paraId="2D965BF3">
            <w:pPr>
              <w:pStyle w:val="6"/>
              <w:spacing w:line="241" w:lineRule="auto"/>
            </w:pPr>
          </w:p>
          <w:p w14:paraId="2F11EFC0">
            <w:pPr>
              <w:spacing w:before="104" w:line="226" w:lineRule="auto"/>
              <w:ind w:left="491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8"/>
                <w:sz w:val="32"/>
                <w:szCs w:val="32"/>
              </w:rPr>
              <w:t>备注</w:t>
            </w:r>
          </w:p>
        </w:tc>
      </w:tr>
      <w:tr w14:paraId="7FF6C0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9" w:hRule="atLeast"/>
        </w:trPr>
        <w:tc>
          <w:tcPr>
            <w:tcW w:w="1095" w:type="dxa"/>
            <w:vMerge w:val="continue"/>
            <w:tcBorders>
              <w:top w:val="nil"/>
            </w:tcBorders>
            <w:vAlign w:val="top"/>
          </w:tcPr>
          <w:p w14:paraId="383C7948">
            <w:pPr>
              <w:pStyle w:val="6"/>
            </w:pPr>
          </w:p>
        </w:tc>
        <w:tc>
          <w:tcPr>
            <w:tcW w:w="3050" w:type="dxa"/>
            <w:vMerge w:val="continue"/>
            <w:tcBorders>
              <w:top w:val="nil"/>
            </w:tcBorders>
            <w:vAlign w:val="top"/>
          </w:tcPr>
          <w:p w14:paraId="7A1BCB77">
            <w:pPr>
              <w:pStyle w:val="6"/>
            </w:pPr>
          </w:p>
        </w:tc>
        <w:tc>
          <w:tcPr>
            <w:tcW w:w="3115" w:type="dxa"/>
            <w:vMerge w:val="continue"/>
            <w:tcBorders>
              <w:top w:val="nil"/>
            </w:tcBorders>
            <w:vAlign w:val="top"/>
          </w:tcPr>
          <w:p w14:paraId="2D976742">
            <w:pPr>
              <w:pStyle w:val="6"/>
            </w:pPr>
          </w:p>
        </w:tc>
        <w:tc>
          <w:tcPr>
            <w:tcW w:w="2630" w:type="dxa"/>
            <w:vMerge w:val="continue"/>
            <w:tcBorders>
              <w:top w:val="nil"/>
            </w:tcBorders>
            <w:vAlign w:val="top"/>
          </w:tcPr>
          <w:p w14:paraId="69BC1D78">
            <w:pPr>
              <w:pStyle w:val="6"/>
            </w:pPr>
          </w:p>
        </w:tc>
        <w:tc>
          <w:tcPr>
            <w:tcW w:w="1609" w:type="dxa"/>
            <w:vMerge w:val="continue"/>
            <w:tcBorders>
              <w:top w:val="nil"/>
            </w:tcBorders>
            <w:vAlign w:val="top"/>
          </w:tcPr>
          <w:p w14:paraId="069ED8D9">
            <w:pPr>
              <w:pStyle w:val="6"/>
            </w:pPr>
          </w:p>
        </w:tc>
        <w:tc>
          <w:tcPr>
            <w:tcW w:w="2061" w:type="dxa"/>
            <w:vMerge w:val="continue"/>
            <w:tcBorders>
              <w:top w:val="nil"/>
            </w:tcBorders>
            <w:vAlign w:val="top"/>
          </w:tcPr>
          <w:p w14:paraId="52A85A7D">
            <w:pPr>
              <w:pStyle w:val="6"/>
            </w:pPr>
          </w:p>
        </w:tc>
        <w:tc>
          <w:tcPr>
            <w:tcW w:w="2068" w:type="dxa"/>
            <w:vMerge w:val="continue"/>
            <w:tcBorders>
              <w:top w:val="nil"/>
            </w:tcBorders>
            <w:vAlign w:val="top"/>
          </w:tcPr>
          <w:p w14:paraId="75E1286F">
            <w:pPr>
              <w:pStyle w:val="6"/>
            </w:pPr>
          </w:p>
        </w:tc>
        <w:tc>
          <w:tcPr>
            <w:tcW w:w="1247" w:type="dxa"/>
            <w:vAlign w:val="top"/>
          </w:tcPr>
          <w:p w14:paraId="6DFDE0D0">
            <w:pPr>
              <w:pStyle w:val="6"/>
              <w:spacing w:line="454" w:lineRule="auto"/>
            </w:pPr>
          </w:p>
          <w:p w14:paraId="268FCABA">
            <w:pPr>
              <w:spacing w:before="104" w:line="226" w:lineRule="auto"/>
              <w:ind w:left="326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6"/>
                <w:sz w:val="32"/>
                <w:szCs w:val="32"/>
              </w:rPr>
              <w:t>小计</w:t>
            </w:r>
          </w:p>
        </w:tc>
        <w:tc>
          <w:tcPr>
            <w:tcW w:w="1208" w:type="dxa"/>
            <w:vAlign w:val="top"/>
          </w:tcPr>
          <w:p w14:paraId="6EDC5262">
            <w:pPr>
              <w:pStyle w:val="6"/>
              <w:spacing w:line="451" w:lineRule="auto"/>
            </w:pPr>
          </w:p>
          <w:p w14:paraId="27BD513E">
            <w:pPr>
              <w:spacing w:before="104" w:line="226" w:lineRule="auto"/>
              <w:ind w:right="5"/>
              <w:jc w:val="right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7"/>
                <w:sz w:val="32"/>
                <w:szCs w:val="32"/>
              </w:rPr>
              <w:t>已投资</w:t>
            </w:r>
          </w:p>
        </w:tc>
        <w:tc>
          <w:tcPr>
            <w:tcW w:w="1240" w:type="dxa"/>
            <w:vAlign w:val="top"/>
          </w:tcPr>
          <w:p w14:paraId="48DD9FAF">
            <w:pPr>
              <w:pStyle w:val="6"/>
              <w:spacing w:line="270" w:lineRule="auto"/>
            </w:pPr>
          </w:p>
          <w:p w14:paraId="3DAB7986">
            <w:pPr>
              <w:spacing w:before="104" w:line="232" w:lineRule="auto"/>
              <w:ind w:left="507" w:right="43" w:hanging="329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7"/>
                <w:sz w:val="32"/>
                <w:szCs w:val="32"/>
              </w:rPr>
              <w:t>待投资</w:t>
            </w:r>
            <w:r>
              <w:rPr>
                <w:rFonts w:ascii="宋体" w:hAnsi="宋体" w:eastAsia="宋体" w:cs="宋体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16"/>
                <w:sz w:val="32"/>
                <w:szCs w:val="32"/>
              </w:rPr>
              <w:t>金额</w:t>
            </w:r>
          </w:p>
        </w:tc>
        <w:tc>
          <w:tcPr>
            <w:tcW w:w="2914" w:type="dxa"/>
            <w:vMerge w:val="continue"/>
            <w:tcBorders>
              <w:top w:val="nil"/>
            </w:tcBorders>
            <w:vAlign w:val="top"/>
          </w:tcPr>
          <w:p w14:paraId="2B4A7B5C">
            <w:pPr>
              <w:pStyle w:val="6"/>
            </w:pPr>
          </w:p>
        </w:tc>
        <w:tc>
          <w:tcPr>
            <w:tcW w:w="2811" w:type="dxa"/>
            <w:vMerge w:val="continue"/>
            <w:tcBorders>
              <w:top w:val="nil"/>
            </w:tcBorders>
            <w:vAlign w:val="top"/>
          </w:tcPr>
          <w:p w14:paraId="00F7CDA0">
            <w:pPr>
              <w:pStyle w:val="6"/>
            </w:pPr>
          </w:p>
        </w:tc>
        <w:tc>
          <w:tcPr>
            <w:tcW w:w="1541" w:type="dxa"/>
            <w:vMerge w:val="continue"/>
            <w:tcBorders>
              <w:top w:val="nil"/>
            </w:tcBorders>
            <w:vAlign w:val="top"/>
          </w:tcPr>
          <w:p w14:paraId="2180168A">
            <w:pPr>
              <w:pStyle w:val="6"/>
            </w:pPr>
          </w:p>
        </w:tc>
      </w:tr>
      <w:tr w14:paraId="141392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6" w:hRule="atLeast"/>
        </w:trPr>
        <w:tc>
          <w:tcPr>
            <w:tcW w:w="1095" w:type="dxa"/>
            <w:vAlign w:val="top"/>
          </w:tcPr>
          <w:p w14:paraId="641ABE97">
            <w:pPr>
              <w:pStyle w:val="6"/>
              <w:spacing w:line="256" w:lineRule="auto"/>
            </w:pPr>
          </w:p>
          <w:p w14:paraId="0BCA658F">
            <w:pPr>
              <w:pStyle w:val="6"/>
              <w:spacing w:line="256" w:lineRule="auto"/>
            </w:pPr>
          </w:p>
          <w:p w14:paraId="30B1B4AC">
            <w:pPr>
              <w:pStyle w:val="6"/>
              <w:spacing w:line="257" w:lineRule="auto"/>
            </w:pPr>
          </w:p>
          <w:p w14:paraId="1584940B">
            <w:pPr>
              <w:spacing w:before="104" w:line="226" w:lineRule="auto"/>
              <w:ind w:left="211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23"/>
                <w:sz w:val="32"/>
                <w:szCs w:val="32"/>
              </w:rPr>
              <w:t>示例</w:t>
            </w:r>
          </w:p>
        </w:tc>
        <w:tc>
          <w:tcPr>
            <w:tcW w:w="3050" w:type="dxa"/>
            <w:vAlign w:val="top"/>
          </w:tcPr>
          <w:p w14:paraId="49A6D46A">
            <w:pPr>
              <w:pStyle w:val="6"/>
              <w:spacing w:line="284" w:lineRule="auto"/>
            </w:pPr>
          </w:p>
          <w:p w14:paraId="23855B08">
            <w:pPr>
              <w:pStyle w:val="6"/>
              <w:spacing w:line="285" w:lineRule="auto"/>
            </w:pPr>
          </w:p>
          <w:p w14:paraId="019A4A1B">
            <w:pPr>
              <w:pStyle w:val="6"/>
              <w:spacing w:line="285" w:lineRule="auto"/>
            </w:pPr>
          </w:p>
          <w:p w14:paraId="7D144B53">
            <w:pPr>
              <w:spacing w:before="104" w:line="185" w:lineRule="auto"/>
              <w:ind w:left="1106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XXXXX</w:t>
            </w:r>
          </w:p>
        </w:tc>
        <w:tc>
          <w:tcPr>
            <w:tcW w:w="3115" w:type="dxa"/>
            <w:vAlign w:val="top"/>
          </w:tcPr>
          <w:p w14:paraId="66718E9E">
            <w:pPr>
              <w:pStyle w:val="6"/>
            </w:pPr>
          </w:p>
        </w:tc>
        <w:tc>
          <w:tcPr>
            <w:tcW w:w="2630" w:type="dxa"/>
            <w:vAlign w:val="top"/>
          </w:tcPr>
          <w:p w14:paraId="4139BAA3">
            <w:pPr>
              <w:pStyle w:val="6"/>
            </w:pPr>
          </w:p>
        </w:tc>
        <w:tc>
          <w:tcPr>
            <w:tcW w:w="1609" w:type="dxa"/>
            <w:vAlign w:val="top"/>
          </w:tcPr>
          <w:p w14:paraId="677A749C">
            <w:pPr>
              <w:pStyle w:val="6"/>
              <w:spacing w:line="283" w:lineRule="auto"/>
            </w:pPr>
          </w:p>
          <w:p w14:paraId="7668A4AF">
            <w:pPr>
              <w:pStyle w:val="6"/>
              <w:spacing w:line="284" w:lineRule="auto"/>
            </w:pPr>
          </w:p>
          <w:p w14:paraId="54F34778">
            <w:pPr>
              <w:spacing w:before="104" w:line="227" w:lineRule="auto"/>
              <w:ind w:left="616" w:right="120" w:hanging="433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-6"/>
                <w:sz w:val="32"/>
                <w:szCs w:val="32"/>
              </w:rPr>
              <w:t>X</w:t>
            </w:r>
            <w:r>
              <w:rPr>
                <w:rFonts w:ascii="宋体" w:hAnsi="宋体" w:eastAsia="宋体" w:cs="宋体"/>
                <w:spacing w:val="-71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32"/>
                <w:szCs w:val="32"/>
              </w:rPr>
              <w:t>X</w:t>
            </w:r>
            <w:r>
              <w:rPr>
                <w:rFonts w:ascii="宋体" w:hAnsi="宋体" w:eastAsia="宋体" w:cs="宋体"/>
                <w:spacing w:val="-58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32"/>
                <w:szCs w:val="32"/>
              </w:rPr>
              <w:t>市</w:t>
            </w:r>
            <w:r>
              <w:rPr>
                <w:rFonts w:ascii="宋体" w:hAnsi="宋体" w:eastAsia="宋体" w:cs="宋体"/>
                <w:spacing w:val="-71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32"/>
                <w:szCs w:val="32"/>
              </w:rPr>
              <w:t>X</w:t>
            </w:r>
            <w:r>
              <w:rPr>
                <w:rFonts w:ascii="宋体" w:hAnsi="宋体" w:eastAsia="宋体" w:cs="宋体"/>
                <w:spacing w:val="-71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32"/>
                <w:szCs w:val="32"/>
              </w:rPr>
              <w:t>X</w:t>
            </w:r>
            <w:r>
              <w:rPr>
                <w:rFonts w:ascii="宋体" w:hAnsi="宋体" w:eastAsia="宋体" w:cs="宋体"/>
                <w:sz w:val="32"/>
                <w:szCs w:val="32"/>
              </w:rPr>
              <w:t xml:space="preserve"> 县</w:t>
            </w:r>
          </w:p>
        </w:tc>
        <w:tc>
          <w:tcPr>
            <w:tcW w:w="2061" w:type="dxa"/>
            <w:vAlign w:val="top"/>
          </w:tcPr>
          <w:p w14:paraId="61BF51AC">
            <w:pPr>
              <w:pStyle w:val="6"/>
              <w:spacing w:line="256" w:lineRule="auto"/>
            </w:pPr>
          </w:p>
          <w:p w14:paraId="5F7F81CC">
            <w:pPr>
              <w:pStyle w:val="6"/>
              <w:spacing w:line="256" w:lineRule="auto"/>
            </w:pPr>
          </w:p>
          <w:p w14:paraId="2583C315">
            <w:pPr>
              <w:pStyle w:val="6"/>
              <w:spacing w:line="257" w:lineRule="auto"/>
            </w:pPr>
          </w:p>
          <w:p w14:paraId="6E73F2AF">
            <w:pPr>
              <w:spacing w:before="104" w:line="226" w:lineRule="auto"/>
              <w:ind w:left="69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6"/>
                <w:sz w:val="32"/>
                <w:szCs w:val="32"/>
              </w:rPr>
              <w:t>在建</w:t>
            </w:r>
          </w:p>
        </w:tc>
        <w:tc>
          <w:tcPr>
            <w:tcW w:w="2068" w:type="dxa"/>
            <w:vAlign w:val="top"/>
          </w:tcPr>
          <w:p w14:paraId="45C5400A">
            <w:pPr>
              <w:pStyle w:val="6"/>
              <w:spacing w:line="303" w:lineRule="auto"/>
            </w:pPr>
          </w:p>
          <w:p w14:paraId="1AD5C25C">
            <w:pPr>
              <w:pStyle w:val="6"/>
              <w:spacing w:line="303" w:lineRule="auto"/>
            </w:pPr>
          </w:p>
          <w:p w14:paraId="42DF1A6B">
            <w:pPr>
              <w:spacing w:before="104" w:line="226" w:lineRule="auto"/>
              <w:ind w:left="203" w:right="14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7"/>
                <w:sz w:val="32"/>
                <w:szCs w:val="32"/>
              </w:rPr>
              <w:t>2024年1月-</w:t>
            </w:r>
            <w:r>
              <w:rPr>
                <w:rFonts w:ascii="宋体" w:hAnsi="宋体" w:eastAsia="宋体" w:cs="宋体"/>
                <w:spacing w:val="2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14"/>
                <w:sz w:val="32"/>
                <w:szCs w:val="32"/>
              </w:rPr>
              <w:t>2024年12月</w:t>
            </w:r>
          </w:p>
        </w:tc>
        <w:tc>
          <w:tcPr>
            <w:tcW w:w="1247" w:type="dxa"/>
            <w:vAlign w:val="top"/>
          </w:tcPr>
          <w:p w14:paraId="2B5E721D">
            <w:pPr>
              <w:pStyle w:val="6"/>
            </w:pPr>
          </w:p>
        </w:tc>
        <w:tc>
          <w:tcPr>
            <w:tcW w:w="1208" w:type="dxa"/>
            <w:vAlign w:val="top"/>
          </w:tcPr>
          <w:p w14:paraId="037B3955">
            <w:pPr>
              <w:pStyle w:val="6"/>
            </w:pPr>
          </w:p>
        </w:tc>
        <w:tc>
          <w:tcPr>
            <w:tcW w:w="1240" w:type="dxa"/>
            <w:vAlign w:val="top"/>
          </w:tcPr>
          <w:p w14:paraId="4F90DB84">
            <w:pPr>
              <w:pStyle w:val="6"/>
            </w:pPr>
          </w:p>
        </w:tc>
        <w:tc>
          <w:tcPr>
            <w:tcW w:w="2914" w:type="dxa"/>
            <w:vAlign w:val="top"/>
          </w:tcPr>
          <w:p w14:paraId="5D14BD66">
            <w:pPr>
              <w:pStyle w:val="6"/>
            </w:pPr>
          </w:p>
        </w:tc>
        <w:tc>
          <w:tcPr>
            <w:tcW w:w="2811" w:type="dxa"/>
            <w:vAlign w:val="top"/>
          </w:tcPr>
          <w:p w14:paraId="31598EE8">
            <w:pPr>
              <w:pStyle w:val="6"/>
            </w:pPr>
          </w:p>
        </w:tc>
        <w:tc>
          <w:tcPr>
            <w:tcW w:w="1541" w:type="dxa"/>
            <w:vAlign w:val="top"/>
          </w:tcPr>
          <w:p w14:paraId="17682584">
            <w:pPr>
              <w:pStyle w:val="6"/>
            </w:pPr>
          </w:p>
        </w:tc>
      </w:tr>
      <w:tr w14:paraId="28D6EC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7" w:hRule="atLeast"/>
        </w:trPr>
        <w:tc>
          <w:tcPr>
            <w:tcW w:w="1095" w:type="dxa"/>
            <w:vAlign w:val="top"/>
          </w:tcPr>
          <w:p w14:paraId="0F3B5777">
            <w:pPr>
              <w:pStyle w:val="6"/>
            </w:pPr>
          </w:p>
        </w:tc>
        <w:tc>
          <w:tcPr>
            <w:tcW w:w="3050" w:type="dxa"/>
            <w:vAlign w:val="top"/>
          </w:tcPr>
          <w:p w14:paraId="66CC750F">
            <w:pPr>
              <w:pStyle w:val="6"/>
            </w:pPr>
          </w:p>
        </w:tc>
        <w:tc>
          <w:tcPr>
            <w:tcW w:w="3115" w:type="dxa"/>
            <w:vAlign w:val="top"/>
          </w:tcPr>
          <w:p w14:paraId="766EE970">
            <w:pPr>
              <w:pStyle w:val="6"/>
            </w:pPr>
          </w:p>
        </w:tc>
        <w:tc>
          <w:tcPr>
            <w:tcW w:w="2630" w:type="dxa"/>
            <w:vAlign w:val="top"/>
          </w:tcPr>
          <w:p w14:paraId="3B1B60F9">
            <w:pPr>
              <w:pStyle w:val="6"/>
            </w:pPr>
          </w:p>
        </w:tc>
        <w:tc>
          <w:tcPr>
            <w:tcW w:w="1609" w:type="dxa"/>
            <w:vAlign w:val="top"/>
          </w:tcPr>
          <w:p w14:paraId="1328E41E">
            <w:pPr>
              <w:pStyle w:val="6"/>
            </w:pPr>
          </w:p>
        </w:tc>
        <w:tc>
          <w:tcPr>
            <w:tcW w:w="2061" w:type="dxa"/>
            <w:vAlign w:val="top"/>
          </w:tcPr>
          <w:p w14:paraId="71DD87DF">
            <w:pPr>
              <w:pStyle w:val="6"/>
            </w:pPr>
          </w:p>
        </w:tc>
        <w:tc>
          <w:tcPr>
            <w:tcW w:w="2068" w:type="dxa"/>
            <w:vAlign w:val="top"/>
          </w:tcPr>
          <w:p w14:paraId="21F2794E">
            <w:pPr>
              <w:pStyle w:val="6"/>
            </w:pPr>
          </w:p>
        </w:tc>
        <w:tc>
          <w:tcPr>
            <w:tcW w:w="1247" w:type="dxa"/>
            <w:vAlign w:val="top"/>
          </w:tcPr>
          <w:p w14:paraId="35DF8536">
            <w:pPr>
              <w:pStyle w:val="6"/>
            </w:pPr>
          </w:p>
        </w:tc>
        <w:tc>
          <w:tcPr>
            <w:tcW w:w="1208" w:type="dxa"/>
            <w:vAlign w:val="top"/>
          </w:tcPr>
          <w:p w14:paraId="0FEC4C84">
            <w:pPr>
              <w:pStyle w:val="6"/>
            </w:pPr>
          </w:p>
        </w:tc>
        <w:tc>
          <w:tcPr>
            <w:tcW w:w="1240" w:type="dxa"/>
            <w:vAlign w:val="top"/>
          </w:tcPr>
          <w:p w14:paraId="02038EEA">
            <w:pPr>
              <w:pStyle w:val="6"/>
            </w:pPr>
          </w:p>
        </w:tc>
        <w:tc>
          <w:tcPr>
            <w:tcW w:w="2914" w:type="dxa"/>
            <w:vAlign w:val="top"/>
          </w:tcPr>
          <w:p w14:paraId="632B4AF6">
            <w:pPr>
              <w:pStyle w:val="6"/>
            </w:pPr>
          </w:p>
        </w:tc>
        <w:tc>
          <w:tcPr>
            <w:tcW w:w="2811" w:type="dxa"/>
            <w:vAlign w:val="top"/>
          </w:tcPr>
          <w:p w14:paraId="0F15C265">
            <w:pPr>
              <w:pStyle w:val="6"/>
            </w:pPr>
          </w:p>
        </w:tc>
        <w:tc>
          <w:tcPr>
            <w:tcW w:w="1541" w:type="dxa"/>
            <w:vAlign w:val="top"/>
          </w:tcPr>
          <w:p w14:paraId="704BE018">
            <w:pPr>
              <w:pStyle w:val="6"/>
            </w:pPr>
          </w:p>
        </w:tc>
      </w:tr>
      <w:tr w14:paraId="0C36D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7" w:hRule="atLeast"/>
        </w:trPr>
        <w:tc>
          <w:tcPr>
            <w:tcW w:w="1095" w:type="dxa"/>
            <w:vAlign w:val="top"/>
          </w:tcPr>
          <w:p w14:paraId="78B3B674">
            <w:pPr>
              <w:pStyle w:val="6"/>
            </w:pPr>
          </w:p>
        </w:tc>
        <w:tc>
          <w:tcPr>
            <w:tcW w:w="3050" w:type="dxa"/>
            <w:vAlign w:val="top"/>
          </w:tcPr>
          <w:p w14:paraId="334C8E70">
            <w:pPr>
              <w:pStyle w:val="6"/>
            </w:pPr>
          </w:p>
        </w:tc>
        <w:tc>
          <w:tcPr>
            <w:tcW w:w="3115" w:type="dxa"/>
            <w:vAlign w:val="top"/>
          </w:tcPr>
          <w:p w14:paraId="1E701154">
            <w:pPr>
              <w:pStyle w:val="6"/>
            </w:pPr>
          </w:p>
        </w:tc>
        <w:tc>
          <w:tcPr>
            <w:tcW w:w="2630" w:type="dxa"/>
            <w:vAlign w:val="top"/>
          </w:tcPr>
          <w:p w14:paraId="4696833D">
            <w:pPr>
              <w:pStyle w:val="6"/>
            </w:pPr>
          </w:p>
        </w:tc>
        <w:tc>
          <w:tcPr>
            <w:tcW w:w="1609" w:type="dxa"/>
            <w:vAlign w:val="top"/>
          </w:tcPr>
          <w:p w14:paraId="49F07093">
            <w:pPr>
              <w:pStyle w:val="6"/>
            </w:pPr>
          </w:p>
        </w:tc>
        <w:tc>
          <w:tcPr>
            <w:tcW w:w="2061" w:type="dxa"/>
            <w:vAlign w:val="top"/>
          </w:tcPr>
          <w:p w14:paraId="0D21CFFD">
            <w:pPr>
              <w:pStyle w:val="6"/>
            </w:pPr>
          </w:p>
        </w:tc>
        <w:tc>
          <w:tcPr>
            <w:tcW w:w="2068" w:type="dxa"/>
            <w:vAlign w:val="top"/>
          </w:tcPr>
          <w:p w14:paraId="0219A44E">
            <w:pPr>
              <w:pStyle w:val="6"/>
            </w:pPr>
          </w:p>
        </w:tc>
        <w:tc>
          <w:tcPr>
            <w:tcW w:w="1247" w:type="dxa"/>
            <w:vAlign w:val="top"/>
          </w:tcPr>
          <w:p w14:paraId="006840DE">
            <w:pPr>
              <w:pStyle w:val="6"/>
            </w:pPr>
          </w:p>
        </w:tc>
        <w:tc>
          <w:tcPr>
            <w:tcW w:w="1208" w:type="dxa"/>
            <w:vAlign w:val="top"/>
          </w:tcPr>
          <w:p w14:paraId="5B443B3A">
            <w:pPr>
              <w:pStyle w:val="6"/>
            </w:pPr>
          </w:p>
        </w:tc>
        <w:tc>
          <w:tcPr>
            <w:tcW w:w="1240" w:type="dxa"/>
            <w:vAlign w:val="top"/>
          </w:tcPr>
          <w:p w14:paraId="125C6186">
            <w:pPr>
              <w:pStyle w:val="6"/>
            </w:pPr>
          </w:p>
        </w:tc>
        <w:tc>
          <w:tcPr>
            <w:tcW w:w="2914" w:type="dxa"/>
            <w:vAlign w:val="top"/>
          </w:tcPr>
          <w:p w14:paraId="40005219">
            <w:pPr>
              <w:pStyle w:val="6"/>
            </w:pPr>
          </w:p>
        </w:tc>
        <w:tc>
          <w:tcPr>
            <w:tcW w:w="2811" w:type="dxa"/>
            <w:vAlign w:val="top"/>
          </w:tcPr>
          <w:p w14:paraId="5354404B">
            <w:pPr>
              <w:pStyle w:val="6"/>
            </w:pPr>
          </w:p>
        </w:tc>
        <w:tc>
          <w:tcPr>
            <w:tcW w:w="1541" w:type="dxa"/>
            <w:vAlign w:val="top"/>
          </w:tcPr>
          <w:p w14:paraId="75EB2BC3">
            <w:pPr>
              <w:pStyle w:val="6"/>
            </w:pPr>
          </w:p>
        </w:tc>
      </w:tr>
      <w:tr w14:paraId="21E88F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6" w:hRule="atLeast"/>
        </w:trPr>
        <w:tc>
          <w:tcPr>
            <w:tcW w:w="1095" w:type="dxa"/>
            <w:vAlign w:val="top"/>
          </w:tcPr>
          <w:p w14:paraId="77F622E6">
            <w:pPr>
              <w:pStyle w:val="6"/>
            </w:pPr>
          </w:p>
        </w:tc>
        <w:tc>
          <w:tcPr>
            <w:tcW w:w="3050" w:type="dxa"/>
            <w:vAlign w:val="top"/>
          </w:tcPr>
          <w:p w14:paraId="5215AE1B">
            <w:pPr>
              <w:pStyle w:val="6"/>
            </w:pPr>
          </w:p>
        </w:tc>
        <w:tc>
          <w:tcPr>
            <w:tcW w:w="3115" w:type="dxa"/>
            <w:vAlign w:val="top"/>
          </w:tcPr>
          <w:p w14:paraId="180C1CB1">
            <w:pPr>
              <w:pStyle w:val="6"/>
            </w:pPr>
          </w:p>
        </w:tc>
        <w:tc>
          <w:tcPr>
            <w:tcW w:w="2630" w:type="dxa"/>
            <w:vAlign w:val="top"/>
          </w:tcPr>
          <w:p w14:paraId="225D285A">
            <w:pPr>
              <w:pStyle w:val="6"/>
            </w:pPr>
          </w:p>
        </w:tc>
        <w:tc>
          <w:tcPr>
            <w:tcW w:w="1609" w:type="dxa"/>
            <w:vAlign w:val="top"/>
          </w:tcPr>
          <w:p w14:paraId="108F6F01">
            <w:pPr>
              <w:pStyle w:val="6"/>
            </w:pPr>
          </w:p>
        </w:tc>
        <w:tc>
          <w:tcPr>
            <w:tcW w:w="2061" w:type="dxa"/>
            <w:vAlign w:val="top"/>
          </w:tcPr>
          <w:p w14:paraId="18341FC0">
            <w:pPr>
              <w:pStyle w:val="6"/>
            </w:pPr>
          </w:p>
        </w:tc>
        <w:tc>
          <w:tcPr>
            <w:tcW w:w="2068" w:type="dxa"/>
            <w:vAlign w:val="top"/>
          </w:tcPr>
          <w:p w14:paraId="579BAC14">
            <w:pPr>
              <w:pStyle w:val="6"/>
            </w:pPr>
          </w:p>
        </w:tc>
        <w:tc>
          <w:tcPr>
            <w:tcW w:w="1247" w:type="dxa"/>
            <w:vAlign w:val="top"/>
          </w:tcPr>
          <w:p w14:paraId="3BCD9858">
            <w:pPr>
              <w:pStyle w:val="6"/>
            </w:pPr>
          </w:p>
        </w:tc>
        <w:tc>
          <w:tcPr>
            <w:tcW w:w="1208" w:type="dxa"/>
            <w:vAlign w:val="top"/>
          </w:tcPr>
          <w:p w14:paraId="38B63EE0">
            <w:pPr>
              <w:pStyle w:val="6"/>
            </w:pPr>
          </w:p>
        </w:tc>
        <w:tc>
          <w:tcPr>
            <w:tcW w:w="1240" w:type="dxa"/>
            <w:vAlign w:val="top"/>
          </w:tcPr>
          <w:p w14:paraId="7751E38D">
            <w:pPr>
              <w:pStyle w:val="6"/>
            </w:pPr>
          </w:p>
        </w:tc>
        <w:tc>
          <w:tcPr>
            <w:tcW w:w="2914" w:type="dxa"/>
            <w:vAlign w:val="top"/>
          </w:tcPr>
          <w:p w14:paraId="531105B4">
            <w:pPr>
              <w:pStyle w:val="6"/>
            </w:pPr>
          </w:p>
        </w:tc>
        <w:tc>
          <w:tcPr>
            <w:tcW w:w="2811" w:type="dxa"/>
            <w:vAlign w:val="top"/>
          </w:tcPr>
          <w:p w14:paraId="4D41B426">
            <w:pPr>
              <w:pStyle w:val="6"/>
            </w:pPr>
          </w:p>
        </w:tc>
        <w:tc>
          <w:tcPr>
            <w:tcW w:w="1541" w:type="dxa"/>
            <w:vAlign w:val="top"/>
          </w:tcPr>
          <w:p w14:paraId="04528E99">
            <w:pPr>
              <w:pStyle w:val="6"/>
            </w:pPr>
          </w:p>
        </w:tc>
      </w:tr>
      <w:tr w14:paraId="33E13F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4" w:hRule="atLeast"/>
        </w:trPr>
        <w:tc>
          <w:tcPr>
            <w:tcW w:w="1095" w:type="dxa"/>
            <w:vAlign w:val="top"/>
          </w:tcPr>
          <w:p w14:paraId="11E9D512">
            <w:pPr>
              <w:pStyle w:val="6"/>
            </w:pPr>
          </w:p>
        </w:tc>
        <w:tc>
          <w:tcPr>
            <w:tcW w:w="3050" w:type="dxa"/>
            <w:vAlign w:val="top"/>
          </w:tcPr>
          <w:p w14:paraId="3815EEED">
            <w:pPr>
              <w:pStyle w:val="6"/>
            </w:pPr>
          </w:p>
        </w:tc>
        <w:tc>
          <w:tcPr>
            <w:tcW w:w="3115" w:type="dxa"/>
            <w:vAlign w:val="top"/>
          </w:tcPr>
          <w:p w14:paraId="2651F6F0">
            <w:pPr>
              <w:pStyle w:val="6"/>
            </w:pPr>
          </w:p>
        </w:tc>
        <w:tc>
          <w:tcPr>
            <w:tcW w:w="2630" w:type="dxa"/>
            <w:vAlign w:val="top"/>
          </w:tcPr>
          <w:p w14:paraId="1331DE84">
            <w:pPr>
              <w:pStyle w:val="6"/>
            </w:pPr>
          </w:p>
        </w:tc>
        <w:tc>
          <w:tcPr>
            <w:tcW w:w="1609" w:type="dxa"/>
            <w:vAlign w:val="top"/>
          </w:tcPr>
          <w:p w14:paraId="41A118BB">
            <w:pPr>
              <w:pStyle w:val="6"/>
            </w:pPr>
          </w:p>
        </w:tc>
        <w:tc>
          <w:tcPr>
            <w:tcW w:w="2061" w:type="dxa"/>
            <w:vAlign w:val="top"/>
          </w:tcPr>
          <w:p w14:paraId="12782B30">
            <w:pPr>
              <w:pStyle w:val="6"/>
            </w:pPr>
          </w:p>
        </w:tc>
        <w:tc>
          <w:tcPr>
            <w:tcW w:w="2068" w:type="dxa"/>
            <w:vAlign w:val="top"/>
          </w:tcPr>
          <w:p w14:paraId="1CCDFA2F">
            <w:pPr>
              <w:pStyle w:val="6"/>
            </w:pPr>
          </w:p>
        </w:tc>
        <w:tc>
          <w:tcPr>
            <w:tcW w:w="1247" w:type="dxa"/>
            <w:vAlign w:val="top"/>
          </w:tcPr>
          <w:p w14:paraId="6532BD2F">
            <w:pPr>
              <w:pStyle w:val="6"/>
            </w:pPr>
          </w:p>
        </w:tc>
        <w:tc>
          <w:tcPr>
            <w:tcW w:w="1208" w:type="dxa"/>
            <w:vAlign w:val="top"/>
          </w:tcPr>
          <w:p w14:paraId="119FFCD9">
            <w:pPr>
              <w:pStyle w:val="6"/>
            </w:pPr>
          </w:p>
        </w:tc>
        <w:tc>
          <w:tcPr>
            <w:tcW w:w="1240" w:type="dxa"/>
            <w:vAlign w:val="top"/>
          </w:tcPr>
          <w:p w14:paraId="3AB39340">
            <w:pPr>
              <w:pStyle w:val="6"/>
            </w:pPr>
          </w:p>
        </w:tc>
        <w:tc>
          <w:tcPr>
            <w:tcW w:w="2914" w:type="dxa"/>
            <w:vAlign w:val="top"/>
          </w:tcPr>
          <w:p w14:paraId="0288EDC2">
            <w:pPr>
              <w:pStyle w:val="6"/>
            </w:pPr>
          </w:p>
        </w:tc>
        <w:tc>
          <w:tcPr>
            <w:tcW w:w="2811" w:type="dxa"/>
            <w:vAlign w:val="top"/>
          </w:tcPr>
          <w:p w14:paraId="1FD8FA86">
            <w:pPr>
              <w:pStyle w:val="6"/>
            </w:pPr>
          </w:p>
        </w:tc>
        <w:tc>
          <w:tcPr>
            <w:tcW w:w="1541" w:type="dxa"/>
            <w:vAlign w:val="top"/>
          </w:tcPr>
          <w:p w14:paraId="4E1FACC8">
            <w:pPr>
              <w:pStyle w:val="6"/>
            </w:pPr>
          </w:p>
        </w:tc>
      </w:tr>
      <w:tr w14:paraId="6BCF80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2"/>
          <w:wAfter w:w="25494" w:type="dxa"/>
          <w:trHeight w:val="1800" w:hRule="atLeast"/>
        </w:trPr>
        <w:tc>
          <w:tcPr>
            <w:tcW w:w="1095" w:type="dxa"/>
            <w:vAlign w:val="top"/>
          </w:tcPr>
          <w:p w14:paraId="274A40C4">
            <w:pPr>
              <w:pStyle w:val="6"/>
              <w:spacing w:line="320" w:lineRule="auto"/>
            </w:pPr>
          </w:p>
          <w:p w14:paraId="77CA9169">
            <w:pPr>
              <w:pStyle w:val="6"/>
              <w:spacing w:line="320" w:lineRule="auto"/>
            </w:pPr>
          </w:p>
          <w:p w14:paraId="44737998">
            <w:pPr>
              <w:spacing w:before="104" w:line="225" w:lineRule="auto"/>
              <w:ind w:left="211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27"/>
                <w:sz w:val="32"/>
                <w:szCs w:val="32"/>
              </w:rPr>
              <w:t>说明</w:t>
            </w:r>
          </w:p>
        </w:tc>
      </w:tr>
    </w:tbl>
    <w:p w14:paraId="31C35128">
      <w:pPr>
        <w:rPr>
          <w:rFonts w:ascii="Arial"/>
          <w:sz w:val="21"/>
        </w:rPr>
      </w:pPr>
    </w:p>
    <w:sectPr>
      <w:footerReference r:id="rId9" w:type="default"/>
      <w:pgSz w:w="31680" w:h="22775"/>
      <w:pgMar w:top="1678" w:right="901" w:bottom="1407" w:left="998" w:header="0" w:footer="10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C6030">
    <w:pPr>
      <w:spacing w:line="53" w:lineRule="exact"/>
    </w:pPr>
    <w:r>
      <w:rPr>
        <w:position w:val="-1"/>
      </w:rPr>
      <w:drawing>
        <wp:inline distT="0" distB="0" distL="0" distR="0">
          <wp:extent cx="11447780" cy="33655"/>
          <wp:effectExtent l="0" t="0" r="0" b="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48060" cy="338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C5C6E">
    <w:pPr>
      <w:spacing w:line="181" w:lineRule="auto"/>
      <w:ind w:left="361"/>
      <w:rPr>
        <w:rFonts w:ascii="宋体" w:hAnsi="宋体" w:eastAsia="宋体" w:cs="宋体"/>
        <w:sz w:val="61"/>
        <w:szCs w:val="61"/>
      </w:rPr>
    </w:pPr>
    <w:r>
      <w:rPr>
        <w:rFonts w:ascii="宋体" w:hAnsi="宋体" w:eastAsia="宋体" w:cs="宋体"/>
        <w:spacing w:val="-2"/>
        <w:sz w:val="61"/>
        <w:szCs w:val="61"/>
      </w:rPr>
      <w:t>—2—</w:t>
    </w:r>
    <w:r>
      <w:rPr>
        <w:rFonts w:ascii="宋体" w:hAnsi="宋体" w:eastAsia="宋体" w:cs="宋体"/>
        <w:sz w:val="61"/>
        <w:szCs w:val="61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636DA">
    <w:pPr>
      <w:spacing w:before="2" w:line="180" w:lineRule="auto"/>
      <w:ind w:left="14348"/>
      <w:rPr>
        <w:rFonts w:ascii="宋体" w:hAnsi="宋体" w:eastAsia="宋体" w:cs="宋体"/>
        <w:sz w:val="63"/>
        <w:szCs w:val="63"/>
      </w:rPr>
    </w:pPr>
    <w:r>
      <w:rPr>
        <w:rFonts w:ascii="宋体" w:hAnsi="宋体" w:eastAsia="宋体" w:cs="宋体"/>
        <w:b/>
        <w:bCs/>
        <w:spacing w:val="-5"/>
        <w:sz w:val="63"/>
        <w:szCs w:val="63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C4E0C">
    <w:pPr>
      <w:spacing w:before="4" w:line="181" w:lineRule="auto"/>
      <w:ind w:left="341"/>
      <w:rPr>
        <w:rFonts w:ascii="宋体" w:hAnsi="宋体" w:eastAsia="宋体" w:cs="宋体"/>
        <w:sz w:val="90"/>
        <w:szCs w:val="90"/>
      </w:rPr>
    </w:pPr>
    <w:r>
      <w:rPr>
        <w:rFonts w:ascii="宋体" w:hAnsi="宋体" w:eastAsia="宋体" w:cs="宋体"/>
        <w:spacing w:val="-54"/>
        <w:w w:val="99"/>
        <w:sz w:val="90"/>
        <w:szCs w:val="90"/>
      </w:rPr>
      <w:t>—4—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B1676C">
    <w:pPr>
      <w:spacing w:line="179" w:lineRule="auto"/>
      <w:ind w:left="14742"/>
      <w:rPr>
        <w:rFonts w:ascii="宋体" w:hAnsi="宋体" w:eastAsia="宋体" w:cs="宋体"/>
        <w:sz w:val="40"/>
        <w:szCs w:val="40"/>
      </w:rPr>
    </w:pPr>
    <w:r>
      <w:rPr>
        <w:rFonts w:ascii="宋体" w:hAnsi="宋体" w:eastAsia="宋体" w:cs="宋体"/>
        <w:b/>
        <w:bCs/>
        <w:spacing w:val="-14"/>
        <w:w w:val="66"/>
        <w:sz w:val="40"/>
        <w:szCs w:val="40"/>
      </w:rPr>
      <w:t>—</w:t>
    </w:r>
    <w:r>
      <w:rPr>
        <w:rFonts w:ascii="宋体" w:hAnsi="宋体" w:eastAsia="宋体" w:cs="宋体"/>
        <w:b/>
        <w:bCs/>
        <w:spacing w:val="-38"/>
        <w:sz w:val="40"/>
        <w:szCs w:val="40"/>
      </w:rPr>
      <w:t>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GZlNDJhZThhZjEyM2Y0N2U2YWVhOGQ4ZmI1OWM4NmMifQ=="/>
  </w:docVars>
  <w:rsids>
    <w:rsidRoot w:val="00000000"/>
    <w:rsid w:val="2B7C70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65"/>
      <w:szCs w:val="6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1860</Words>
  <Characters>1994</Characters>
  <TotalTime>0</TotalTime>
  <ScaleCrop>false</ScaleCrop>
  <LinksUpToDate>false</LinksUpToDate>
  <CharactersWithSpaces>2185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2024-08-20T09:43:00Z</dcterms:created>
  <dc:creator>Kingsoft-PDF</dc:creator>
  <cp:lastModifiedBy>野娃（YEWOO）章春华</cp:lastModifiedBy>
  <dcterms:modified xsi:type="dcterms:W3CDTF">2024-08-20T01:43:47Z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2024-08-20T09:43:25Z</vt:filetime>
  </property>
  <property fmtid="{D5CDD505-2E9C-101B-9397-08002B2CF9AE}" pid="4" name="UsrData">
    <vt:lpwstr>66c3f4b6be7107001f4803b4wl</vt:lpwstr>
  </property>
  <property fmtid="{D5CDD505-2E9C-101B-9397-08002B2CF9AE}" pid="5" name="KSOProductBuildVer">
    <vt:lpwstr>2052-12.1.0.17827</vt:lpwstr>
  </property>
  <property fmtid="{D5CDD505-2E9C-101B-9397-08002B2CF9AE}" pid="6" name="ICV">
    <vt:lpwstr>599D4FEA0D5A4D73BD4B026EBE148CE9_12</vt:lpwstr>
  </property>
</Properties>
</file>